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280D59" w:rsidRDefault="00BB4EC5" w:rsidP="00005EA8">
      <w:pPr>
        <w:jc w:val="right"/>
        <w:rPr>
          <w:sz w:val="18"/>
          <w:szCs w:val="18"/>
        </w:rPr>
      </w:pPr>
    </w:p>
    <w:p w:rsidR="00005EA8" w:rsidRPr="00280D59" w:rsidRDefault="00005EA8" w:rsidP="00005EA8">
      <w:pPr>
        <w:jc w:val="right"/>
        <w:rPr>
          <w:sz w:val="18"/>
          <w:szCs w:val="18"/>
        </w:rPr>
      </w:pPr>
      <w:r w:rsidRPr="00280D59">
        <w:rPr>
          <w:sz w:val="18"/>
          <w:szCs w:val="18"/>
        </w:rPr>
        <w:t xml:space="preserve">Приложение 2 </w:t>
      </w:r>
    </w:p>
    <w:p w:rsidR="00005EA8" w:rsidRPr="00280D59" w:rsidRDefault="00005EA8" w:rsidP="00005EA8">
      <w:pPr>
        <w:jc w:val="right"/>
        <w:rPr>
          <w:sz w:val="18"/>
          <w:szCs w:val="18"/>
        </w:rPr>
      </w:pPr>
      <w:r w:rsidRPr="00280D59">
        <w:rPr>
          <w:sz w:val="18"/>
          <w:szCs w:val="18"/>
        </w:rPr>
        <w:t>к тендерной документации</w:t>
      </w:r>
    </w:p>
    <w:p w:rsidR="00005EA8" w:rsidRDefault="00005EA8" w:rsidP="00032882">
      <w:pPr>
        <w:jc w:val="center"/>
        <w:rPr>
          <w:b/>
          <w:bCs/>
          <w:sz w:val="18"/>
          <w:szCs w:val="18"/>
        </w:rPr>
      </w:pPr>
      <w:r w:rsidRPr="00280D59">
        <w:rPr>
          <w:b/>
          <w:sz w:val="18"/>
          <w:szCs w:val="18"/>
        </w:rPr>
        <w:t>Техническая спецификация</w:t>
      </w:r>
      <w:r w:rsidR="009F3395" w:rsidRPr="00280D59">
        <w:rPr>
          <w:b/>
          <w:bCs/>
          <w:sz w:val="18"/>
          <w:szCs w:val="18"/>
        </w:rPr>
        <w:t xml:space="preserve"> медицинских изделий</w:t>
      </w:r>
      <w:r w:rsidR="00D272D0">
        <w:rPr>
          <w:b/>
          <w:bCs/>
          <w:sz w:val="18"/>
          <w:szCs w:val="18"/>
        </w:rPr>
        <w:t xml:space="preserve"> </w:t>
      </w:r>
    </w:p>
    <w:p w:rsidR="00730B30" w:rsidRPr="00280D59" w:rsidRDefault="00730B30" w:rsidP="00005EA8">
      <w:pPr>
        <w:rPr>
          <w:sz w:val="18"/>
          <w:szCs w:val="1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4"/>
        <w:gridCol w:w="3823"/>
        <w:gridCol w:w="10631"/>
      </w:tblGrid>
      <w:tr w:rsidR="00FB62ED" w:rsidRPr="00FA064B" w:rsidTr="000A4675">
        <w:trPr>
          <w:trHeight w:val="6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FA064B" w:rsidRDefault="001F1108" w:rsidP="00280D59">
            <w:pPr>
              <w:jc w:val="center"/>
              <w:rPr>
                <w:b/>
                <w:sz w:val="16"/>
                <w:szCs w:val="16"/>
              </w:rPr>
            </w:pPr>
            <w:r w:rsidRPr="00FA064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FA064B" w:rsidRDefault="00FB62ED" w:rsidP="00280D59">
            <w:pPr>
              <w:jc w:val="center"/>
              <w:rPr>
                <w:b/>
                <w:sz w:val="16"/>
                <w:szCs w:val="16"/>
              </w:rPr>
            </w:pPr>
            <w:r w:rsidRPr="00FA064B">
              <w:rPr>
                <w:b/>
                <w:sz w:val="16"/>
                <w:szCs w:val="16"/>
              </w:rPr>
              <w:t>Наименование  медицинских  изделий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FA064B" w:rsidRDefault="00FB62ED" w:rsidP="00280D59">
            <w:pPr>
              <w:jc w:val="center"/>
              <w:rPr>
                <w:b/>
                <w:sz w:val="16"/>
                <w:szCs w:val="16"/>
              </w:rPr>
            </w:pPr>
            <w:r w:rsidRPr="00FA064B">
              <w:rPr>
                <w:b/>
                <w:sz w:val="16"/>
                <w:szCs w:val="16"/>
              </w:rPr>
              <w:t>Техническая спецификация медицинских изделий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>ПАПП-А/Св. бета ХГЧ двойной DBS для анализатора флюорометрического закрытого типа AutoDELFIA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480 определений. Набор для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пренатального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скрининга беременных на хромосомную патологию плода в первом триместре беременности для анализатора флюорометрического закрытого типа AutoDELFIA Состав набора: 1) Калибраторы PAPP-A /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Free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hCG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beta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dual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DBS – 1лист фильтр бумаги (содержащий 5 наборов пятен крови) 2) Контрольные образцы PAPP-A /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Free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hCG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beta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dual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DBS С1-С3 – 1 лист фильтр бумаги (содержащий 5 наборов пятен крови) 3) Основной раствор метки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-PAPP-A-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Eu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(~25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нг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/мл) (мышиные,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моноклональный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) – 5 пробирок, 1,6 мл. 4) Основной раствор метки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hCG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beta-Sm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(~50 мкг/мл) (мышиные,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моноклональный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) – 5 пробирок, 0,9 мл. 5) Буфер DELFIA-2 – 5 флаконов, 30 мл. 6) Полоски для микротитрования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-PAPP-A/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Free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hCG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beta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, 8х12 лунок, покрытых антителами, направленными против PAPP-A и бета-ХГЧ) (мышиные,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моноклональный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) – 5 шт. 7) Наклейки со штрих-кодами для кассеты с реагентами – 12 шт. 8) Дополнительные штрих-коды для планшета -3 шт.9) Герметично закрывающийся пластиковый пакет для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микротитр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Стрипов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– 5 шт.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Нео-Тиреотропный гормон с бланками (Нео ТТГ с бланками) для анализатора флюорометрического закрытого типа AutoDELFIA 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1152 определений. Наборы для определения тиреотропного гормона в сухих пятнах крови новорожденных для проведения неонатального скрининга на врожденный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гипотиреоздля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анализатора флюорометрического закрытого типа AutoDELFIA. Состав набора: 1) </w:t>
            </w:r>
            <w:proofErr w:type="gramStart"/>
            <w:r w:rsidRPr="000A4675">
              <w:rPr>
                <w:color w:val="000000"/>
                <w:sz w:val="18"/>
                <w:szCs w:val="18"/>
              </w:rPr>
              <w:t>микро планшет</w:t>
            </w:r>
            <w:proofErr w:type="gramEnd"/>
            <w:r w:rsidRPr="000A4675">
              <w:rPr>
                <w:color w:val="000000"/>
                <w:sz w:val="18"/>
                <w:szCs w:val="18"/>
              </w:rPr>
              <w:t xml:space="preserve"> с антителами -12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2) Метка флуоресцентная -6фл 1,1 мл 3) Стандарт ТТГ на фильтровальной бумаге. 4) инкубационный буфер 3фл, 120мл. 5) Контроли на фильтровальной бумаге.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Набор диагностических реагентов для количественного определения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фенилаланина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в образцах крови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Neonatal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Phenylalanine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kit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для анализатора закрытого типа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Delfia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Victor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960 определений. Наборы для количественного определения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фенилаланина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в образцах крови для анализатора закрытого типа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Delfia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Victor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применяются совместно с программами вычисления степени риска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LifeCycle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(TM). Метод –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иммунофлюоресценция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с разрешением по времени на основе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лантанидных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Eu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Sm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) меток. Длины волн измерения - 340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нм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(возбуждение) и 615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нм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(испускание). Измерение флюоресценции на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микропланшетах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(96 лунок). Концентрационный диапазон измерения от 24 до 908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мкмоль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/л Контроли на фильтровальных бланках (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Whatman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№903), 2 уровня: 15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мкЕд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/мл (отрицательный) и 60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мкЕд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/мл (положительный). Чувствительность - менее чем 2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мкЕд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/мл Состав набора: 1)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Фенилаланин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стандарты 0,5;1,5;2,5;10,5;20,5 мг/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дл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6 полосок по 4 пятна на каждой концентрации, 4упаковки; 2)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Фенилаланин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контроли с низким и высоким содержанием, 2 полоски по 4 пятна каждой концентрации, 4 упаковки; 3) Буферный раствор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5.8 2 флакона; 4) L –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лейцил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-L-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аланин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4 флакона; 5)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Нингидрин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4 флакона; 6) медный реактив, 2 флакона Маркировка CE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marked</w:t>
            </w:r>
            <w:proofErr w:type="spellEnd"/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Усиливающий раствор для анализатора флюорометрического закрытого типа AutoDELFIA ( 8*250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8*250 мл. Представляет собой готовый для использования усиливающий раствор с Тритон Х- 100, уксусной кислотой 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хелаторами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для анализатора флюорометрического закрытого типа AutoDELFIA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Промывочный буфер для анализатора флюорометрического закрытого типа AutoDELFIA  ( 8* 250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8*250 мл. Представляет собой готовой к использованию 25-кратный концентрат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Трис-HCl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буфер (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=7.8) солевой раствор с Твин 20 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Germall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II в качестве стабилизатора для анализатора флюорометрического закрытого типа AutoDELFIA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Специальные чашки (100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) для разведения на анализаторе флюорометрического закрытого типа AutoDELFIA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Специальные чашки (100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) для разведения на анализаторе флюорометрического закрытого типа «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Автодельфия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». Прямоугольные контейнеры из прозрачного пластика, предназначенные для предварительного разведения образцов. Не могут быть использованы в иных целях кроме, как для проведения лабораторного анализа на иммунодиагностическом анализаторе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АвтоДелфия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.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>Пластиковые наконечники для разведения на анализаторе флюорометрич</w:t>
            </w:r>
            <w:bookmarkStart w:id="0" w:name="_GoBack"/>
            <w:bookmarkEnd w:id="0"/>
            <w:r w:rsidRPr="000A4675">
              <w:rPr>
                <w:color w:val="000000"/>
                <w:sz w:val="18"/>
                <w:szCs w:val="18"/>
              </w:rPr>
              <w:t>еского закрытого типа AutoDELFIA  (800/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Наконечники для дозирования реагентов. Совместимы с анализатором закрытого типа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AutoDelfia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 Материал - Пластик; Стерильность - Не стерильные; Объем наконечника - 1,25 мл; Количество наконечников в упаковке - 960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  Регистрационное удостоверение - наличие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>Набор для определения плацентарного фактора роста  1-2-3 для разведения на анализаторе флюорометрического закрытого типа AutoDELFIA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Набор предназначается для количественного определения фактора роста плаценты (ФРП) в материнской сыворотке с использованием автоматической системы для иммунологического анализа ® или модульной системы DELFIA®. Биохимический маркер (ФРП) для скрининга риска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преэклампсии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в первом триместре беременности применяется совместно с программным обеспечением (ПО) для вычисления степени риска (например,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Pre-eclampsia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Predictor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™ или применяются совместно с программами вычисления степени риска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LifeCycle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(TM).  Метод –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иммунофлюоресценция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с разрешением по времени на основе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лантанидных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Eu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Sm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) меток – </w:t>
            </w:r>
            <w:r w:rsidRPr="000A4675">
              <w:rPr>
                <w:b/>
                <w:bCs/>
                <w:color w:val="000000"/>
                <w:sz w:val="18"/>
                <w:szCs w:val="18"/>
              </w:rPr>
              <w:t xml:space="preserve">в наличие </w:t>
            </w:r>
            <w:r w:rsidRPr="000A4675">
              <w:rPr>
                <w:color w:val="000000"/>
                <w:sz w:val="18"/>
                <w:szCs w:val="18"/>
              </w:rPr>
              <w:t xml:space="preserve">Длины волн измерения - 340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нм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(возбуждение) и 615/640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нм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(испускание) - </w:t>
            </w:r>
            <w:r w:rsidRPr="000A4675">
              <w:rPr>
                <w:b/>
                <w:bCs/>
                <w:color w:val="000000"/>
                <w:sz w:val="18"/>
                <w:szCs w:val="18"/>
              </w:rPr>
              <w:t xml:space="preserve">в наличие </w:t>
            </w:r>
            <w:r w:rsidRPr="000A4675">
              <w:rPr>
                <w:color w:val="000000"/>
                <w:sz w:val="18"/>
                <w:szCs w:val="18"/>
              </w:rPr>
              <w:t xml:space="preserve">Измерение флюоресценции на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микропланшетах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(96 лунок)- </w:t>
            </w:r>
            <w:r w:rsidRPr="000A4675">
              <w:rPr>
                <w:b/>
                <w:bCs/>
                <w:color w:val="000000"/>
                <w:sz w:val="18"/>
                <w:szCs w:val="18"/>
              </w:rPr>
              <w:t xml:space="preserve">в наличие </w:t>
            </w:r>
            <w:r w:rsidRPr="000A4675">
              <w:rPr>
                <w:color w:val="000000"/>
                <w:sz w:val="18"/>
                <w:szCs w:val="18"/>
              </w:rPr>
              <w:t xml:space="preserve">Концентрационный диапазон измерения: для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-PlGF= 0 - 4000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пг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/мл; 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Воспроизводимость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- не менее 98% в пределах срока годности – </w:t>
            </w:r>
            <w:r w:rsidRPr="000A4675">
              <w:rPr>
                <w:b/>
                <w:bCs/>
                <w:color w:val="000000"/>
                <w:sz w:val="18"/>
                <w:szCs w:val="18"/>
              </w:rPr>
              <w:t xml:space="preserve">в наличие </w:t>
            </w:r>
            <w:r w:rsidRPr="000A4675">
              <w:rPr>
                <w:color w:val="000000"/>
                <w:sz w:val="18"/>
                <w:szCs w:val="18"/>
              </w:rPr>
              <w:t xml:space="preserve">Состав набора: PlGF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Calibrators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6 (пробирок по 1.1 мл), PlGF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Tracer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(Метка ФРП): Метка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-PlGF-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Eu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(меченое европием антитело к ФРП) (10 мкг/мл) (мышиное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моноклональное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антитело) - 1 пробирка, 1.0 мл, </w:t>
            </w:r>
            <w:r w:rsidRPr="000A4675">
              <w:rPr>
                <w:color w:val="000000"/>
                <w:sz w:val="18"/>
                <w:szCs w:val="18"/>
              </w:rPr>
              <w:lastRenderedPageBreak/>
              <w:t xml:space="preserve">PlGF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Assay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Buffer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(Буфер для лабораторного анализа содержания ФРП)- 1 флакон 35 мл,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>-PlGF-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biotin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antibody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(Меченое биотином антитело к ФРП) (~13 мкг/мл) (рекомбинантный фрагмент антитела человека) - 1 пробирка, 1,5 мл раствор антител состоит из солевого раствора с буфером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Tris-HCl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7.8) с бычьим сывороточным альбумином и &lt; 0.1 % азида натрия в качестве консерванта.  сертификат контроля качества – </w:t>
            </w:r>
            <w:r w:rsidRPr="000A4675">
              <w:rPr>
                <w:b/>
                <w:bCs/>
                <w:color w:val="000000"/>
                <w:sz w:val="18"/>
                <w:szCs w:val="18"/>
              </w:rPr>
              <w:t xml:space="preserve">в наличие На 96 определений по сыворотке – в наличие  Маркировка CE </w:t>
            </w:r>
            <w:proofErr w:type="spellStart"/>
            <w:r w:rsidRPr="000A4675">
              <w:rPr>
                <w:b/>
                <w:bCs/>
                <w:color w:val="000000"/>
                <w:sz w:val="18"/>
                <w:szCs w:val="18"/>
              </w:rPr>
              <w:t>marked</w:t>
            </w:r>
            <w:proofErr w:type="spellEnd"/>
            <w:r w:rsidRPr="000A4675">
              <w:rPr>
                <w:b/>
                <w:bCs/>
                <w:color w:val="000000"/>
                <w:sz w:val="18"/>
                <w:szCs w:val="18"/>
              </w:rPr>
              <w:t xml:space="preserve"> - в наличие</w:t>
            </w:r>
          </w:p>
        </w:tc>
      </w:tr>
      <w:tr w:rsidR="000A4675" w:rsidRPr="00FA064B" w:rsidTr="000A4675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FA064B" w:rsidRDefault="000A4675" w:rsidP="000A4675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>Контроль для определения плацентарного фактора роста PlGF для разведения на анализаторе флюорометрического закрытого типа AutoDELFIA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75" w:rsidRPr="000A4675" w:rsidRDefault="000A4675" w:rsidP="000A4675">
            <w:pPr>
              <w:rPr>
                <w:color w:val="000000"/>
                <w:sz w:val="18"/>
                <w:szCs w:val="18"/>
              </w:rPr>
            </w:pPr>
            <w:r w:rsidRPr="000A4675">
              <w:rPr>
                <w:color w:val="000000"/>
                <w:sz w:val="18"/>
                <w:szCs w:val="18"/>
              </w:rPr>
              <w:t xml:space="preserve">Контроль для определения плацентарного фактора роста PlGF - </w:t>
            </w:r>
            <w:proofErr w:type="spellStart"/>
            <w:r w:rsidRPr="000A4675">
              <w:rPr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0A4675">
              <w:rPr>
                <w:color w:val="000000"/>
                <w:sz w:val="18"/>
                <w:szCs w:val="18"/>
              </w:rPr>
              <w:t xml:space="preserve"> контрольная сыворотка человека, предназначенная для использования в качестве анализируемой сыворотки контроля качества для контроля точности лабораторных процедур измерения для анализов DELFIA® PlGF. Два уровня контроля доступны, чтобы позволить мониторинг производительности в пределах клинического диапазона. Низкий PlGF контроль -  5 лиофилизированных флаконов  Высокий PlGF контроль – 5 лиофилизированных флаконов</w:t>
            </w:r>
          </w:p>
        </w:tc>
      </w:tr>
    </w:tbl>
    <w:p w:rsidR="00FB62ED" w:rsidRPr="00280D59" w:rsidRDefault="00FB62ED" w:rsidP="00C74B01">
      <w:pPr>
        <w:ind w:firstLine="567"/>
        <w:jc w:val="both"/>
        <w:rPr>
          <w:b/>
          <w:sz w:val="18"/>
          <w:szCs w:val="18"/>
          <w:u w:val="single"/>
        </w:rPr>
      </w:pPr>
    </w:p>
    <w:p w:rsidR="00C74B01" w:rsidRPr="00280D59" w:rsidRDefault="00C74B01" w:rsidP="00C74B01">
      <w:pPr>
        <w:ind w:firstLine="567"/>
        <w:jc w:val="both"/>
        <w:rPr>
          <w:b/>
          <w:sz w:val="18"/>
          <w:szCs w:val="18"/>
          <w:u w:val="single"/>
        </w:rPr>
      </w:pPr>
      <w:r w:rsidRPr="00280D59">
        <w:rPr>
          <w:b/>
          <w:sz w:val="18"/>
          <w:szCs w:val="18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280D59" w:rsidRDefault="00803676" w:rsidP="00C74B01">
      <w:pPr>
        <w:ind w:firstLine="567"/>
        <w:jc w:val="both"/>
        <w:rPr>
          <w:b/>
          <w:sz w:val="18"/>
          <w:szCs w:val="18"/>
          <w:u w:val="single"/>
        </w:rPr>
      </w:pPr>
    </w:p>
    <w:p w:rsidR="00C74B01" w:rsidRPr="00280D59" w:rsidRDefault="00C74B01" w:rsidP="00280D59">
      <w:pPr>
        <w:pStyle w:val="a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280D59">
        <w:rPr>
          <w:rFonts w:ascii="Times New Roman" w:hAnsi="Times New Roman" w:cs="Times New Roman"/>
          <w:sz w:val="18"/>
          <w:szCs w:val="18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«Областная клиническая больница» </w:t>
      </w:r>
      <w:r w:rsidRPr="00280D59">
        <w:rPr>
          <w:rFonts w:ascii="Times New Roman" w:hAnsi="Times New Roman" w:cs="Times New Roman"/>
          <w:sz w:val="18"/>
          <w:szCs w:val="18"/>
        </w:rPr>
        <w:t>управления здравоохранения Карагандинской области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 </w:t>
      </w:r>
      <w:r w:rsidRPr="00280D59">
        <w:rPr>
          <w:rFonts w:ascii="Times New Roman" w:hAnsi="Times New Roman" w:cs="Times New Roman"/>
          <w:sz w:val="18"/>
          <w:szCs w:val="18"/>
        </w:rPr>
        <w:t>г.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 </w:t>
      </w:r>
      <w:r w:rsidRPr="00280D59">
        <w:rPr>
          <w:rFonts w:ascii="Times New Roman" w:hAnsi="Times New Roman" w:cs="Times New Roman"/>
          <w:sz w:val="18"/>
          <w:szCs w:val="18"/>
        </w:rPr>
        <w:t>Караганда, ул.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 пр. Н. Назарбаева 10</w:t>
      </w:r>
      <w:r w:rsidR="00B35B4F" w:rsidRPr="00280D59">
        <w:rPr>
          <w:rFonts w:ascii="Times New Roman" w:hAnsi="Times New Roman" w:cs="Times New Roman"/>
          <w:sz w:val="18"/>
          <w:szCs w:val="18"/>
        </w:rPr>
        <w:t xml:space="preserve"> а</w:t>
      </w:r>
      <w:r w:rsidR="00280D5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C74B01" w:rsidRPr="00280D59" w:rsidRDefault="00C74B01" w:rsidP="00280D59">
      <w:pPr>
        <w:jc w:val="both"/>
        <w:rPr>
          <w:sz w:val="18"/>
          <w:szCs w:val="18"/>
        </w:rPr>
      </w:pPr>
      <w:r w:rsidRPr="00280D59">
        <w:rPr>
          <w:sz w:val="18"/>
          <w:szCs w:val="18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280D59">
        <w:rPr>
          <w:sz w:val="18"/>
          <w:szCs w:val="18"/>
        </w:rPr>
        <w:t>вспомогательные услуги</w:t>
      </w:r>
      <w:r w:rsidRPr="00280D59">
        <w:rPr>
          <w:sz w:val="18"/>
          <w:szCs w:val="18"/>
        </w:rPr>
        <w:t xml:space="preserve">, подлежащие </w:t>
      </w:r>
      <w:r w:rsidR="00280D59" w:rsidRPr="00280D59">
        <w:rPr>
          <w:sz w:val="18"/>
          <w:szCs w:val="18"/>
        </w:rPr>
        <w:t>выполнению потенциальным поставщиком</w:t>
      </w:r>
      <w:r w:rsidRPr="00280D59">
        <w:rPr>
          <w:sz w:val="18"/>
          <w:szCs w:val="18"/>
        </w:rPr>
        <w:t xml:space="preserve"> </w:t>
      </w:r>
      <w:r w:rsidR="00280D59" w:rsidRPr="00280D59">
        <w:rPr>
          <w:sz w:val="18"/>
          <w:szCs w:val="18"/>
        </w:rPr>
        <w:t>на всем протяжении</w:t>
      </w:r>
      <w:r w:rsidRPr="00280D59">
        <w:rPr>
          <w:sz w:val="18"/>
          <w:szCs w:val="18"/>
        </w:rPr>
        <w:t xml:space="preserve"> транспортировки медицинских изделий до момента </w:t>
      </w:r>
      <w:r w:rsidR="00F81664" w:rsidRPr="00280D59">
        <w:rPr>
          <w:sz w:val="18"/>
          <w:szCs w:val="18"/>
        </w:rPr>
        <w:t>поставки конечному получателю</w:t>
      </w:r>
      <w:r w:rsidRPr="00280D59">
        <w:rPr>
          <w:sz w:val="18"/>
          <w:szCs w:val="18"/>
        </w:rPr>
        <w:t>.</w:t>
      </w:r>
    </w:p>
    <w:p w:rsidR="00C74B01" w:rsidRPr="00280D59" w:rsidRDefault="00C74B01" w:rsidP="00280D59">
      <w:pPr>
        <w:pStyle w:val="a5"/>
        <w:jc w:val="both"/>
        <w:rPr>
          <w:sz w:val="18"/>
          <w:szCs w:val="18"/>
        </w:rPr>
      </w:pPr>
      <w:r w:rsidRPr="00280D59">
        <w:rPr>
          <w:sz w:val="18"/>
          <w:szCs w:val="18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280D59">
        <w:rPr>
          <w:sz w:val="18"/>
          <w:szCs w:val="18"/>
        </w:rPr>
        <w:t xml:space="preserve"> </w:t>
      </w:r>
      <w:r w:rsidRPr="00280D59">
        <w:rPr>
          <w:sz w:val="18"/>
          <w:szCs w:val="18"/>
        </w:rPr>
        <w:t>заключение о безопасности и качестве установленного образца на медицинские изделия</w:t>
      </w:r>
      <w:r w:rsidR="00280D59" w:rsidRPr="00280D59">
        <w:rPr>
          <w:sz w:val="18"/>
          <w:szCs w:val="18"/>
        </w:rPr>
        <w:t xml:space="preserve"> </w:t>
      </w:r>
      <w:r w:rsidRPr="00280D59">
        <w:rPr>
          <w:sz w:val="18"/>
          <w:szCs w:val="18"/>
        </w:rPr>
        <w:t>(при поставке).</w:t>
      </w:r>
    </w:p>
    <w:p w:rsidR="00C74B01" w:rsidRPr="00280D59" w:rsidRDefault="00C74B01" w:rsidP="00B35B4F">
      <w:pPr>
        <w:tabs>
          <w:tab w:val="left" w:pos="1386"/>
        </w:tabs>
        <w:rPr>
          <w:b/>
          <w:sz w:val="18"/>
          <w:szCs w:val="18"/>
        </w:rPr>
      </w:pPr>
      <w:r w:rsidRPr="00280D59">
        <w:rPr>
          <w:i/>
          <w:iCs/>
          <w:sz w:val="18"/>
          <w:szCs w:val="18"/>
        </w:rPr>
        <w:t xml:space="preserve"> (п.1,2,3 Подтвердить гарантийным письмом)</w:t>
      </w:r>
    </w:p>
    <w:p w:rsidR="00C74B01" w:rsidRPr="00280D59" w:rsidRDefault="00C74B01" w:rsidP="00B35B4F">
      <w:pPr>
        <w:ind w:firstLine="708"/>
        <w:rPr>
          <w:sz w:val="18"/>
          <w:szCs w:val="18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280D59" w:rsidTr="00DE2634">
        <w:trPr>
          <w:trHeight w:val="288"/>
        </w:trPr>
        <w:tc>
          <w:tcPr>
            <w:tcW w:w="5294" w:type="dxa"/>
            <w:hideMark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0D5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7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C74B01" w:rsidRPr="00280D59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280D59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0D59">
              <w:rPr>
                <w:sz w:val="18"/>
                <w:szCs w:val="18"/>
              </w:rPr>
              <w:t>КГП «Областная клиническая больница» управления здравоохранения Карагандинской области</w:t>
            </w:r>
            <w:r w:rsidRPr="00280D5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B35B4F" w:rsidRPr="00280D59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85511" w:rsidRPr="00280D59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AF6CFB" w:rsidRPr="00280D59" w:rsidRDefault="00B35B4F" w:rsidP="00663B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0D5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Директор                                    Нурлыбаев Е. Ш.</w:t>
            </w:r>
          </w:p>
        </w:tc>
        <w:tc>
          <w:tcPr>
            <w:tcW w:w="1421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7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D289A" w:rsidRPr="00280D59" w:rsidRDefault="00CD289A" w:rsidP="00246B03">
      <w:pPr>
        <w:rPr>
          <w:sz w:val="18"/>
          <w:szCs w:val="18"/>
        </w:rPr>
      </w:pPr>
    </w:p>
    <w:sectPr w:rsidR="00CD289A" w:rsidRPr="00280D59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A4675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5498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1F1108"/>
    <w:rsid w:val="0020507F"/>
    <w:rsid w:val="00212B9C"/>
    <w:rsid w:val="00217538"/>
    <w:rsid w:val="00227053"/>
    <w:rsid w:val="002314C0"/>
    <w:rsid w:val="00246B03"/>
    <w:rsid w:val="002540A4"/>
    <w:rsid w:val="0025497E"/>
    <w:rsid w:val="002706C1"/>
    <w:rsid w:val="00274D8E"/>
    <w:rsid w:val="00280D59"/>
    <w:rsid w:val="002A4CF6"/>
    <w:rsid w:val="002A670E"/>
    <w:rsid w:val="002C150A"/>
    <w:rsid w:val="002D4BD7"/>
    <w:rsid w:val="002E078E"/>
    <w:rsid w:val="002F2353"/>
    <w:rsid w:val="0032642C"/>
    <w:rsid w:val="00333736"/>
    <w:rsid w:val="00342A43"/>
    <w:rsid w:val="00353248"/>
    <w:rsid w:val="00353AC5"/>
    <w:rsid w:val="003574CC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45E7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A4892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75D1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C72CE"/>
    <w:rsid w:val="006F4CA4"/>
    <w:rsid w:val="00702C76"/>
    <w:rsid w:val="007261F9"/>
    <w:rsid w:val="00730B30"/>
    <w:rsid w:val="00754E6B"/>
    <w:rsid w:val="00765AC3"/>
    <w:rsid w:val="007A2CFB"/>
    <w:rsid w:val="007A5C93"/>
    <w:rsid w:val="007A77A2"/>
    <w:rsid w:val="007E4B68"/>
    <w:rsid w:val="007E5991"/>
    <w:rsid w:val="007F5C19"/>
    <w:rsid w:val="00803676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9F5154"/>
    <w:rsid w:val="00A22217"/>
    <w:rsid w:val="00A42472"/>
    <w:rsid w:val="00A436D8"/>
    <w:rsid w:val="00A53F12"/>
    <w:rsid w:val="00A65877"/>
    <w:rsid w:val="00A667CE"/>
    <w:rsid w:val="00A77D16"/>
    <w:rsid w:val="00AC341F"/>
    <w:rsid w:val="00AC46AE"/>
    <w:rsid w:val="00AD4800"/>
    <w:rsid w:val="00AE0C60"/>
    <w:rsid w:val="00AF22BA"/>
    <w:rsid w:val="00AF47A8"/>
    <w:rsid w:val="00AF6CFB"/>
    <w:rsid w:val="00B176EC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272D0"/>
    <w:rsid w:val="00D357F3"/>
    <w:rsid w:val="00D35A94"/>
    <w:rsid w:val="00D35D0B"/>
    <w:rsid w:val="00D57BA7"/>
    <w:rsid w:val="00D71E5A"/>
    <w:rsid w:val="00D9190A"/>
    <w:rsid w:val="00D94BAC"/>
    <w:rsid w:val="00D956A6"/>
    <w:rsid w:val="00DB18D5"/>
    <w:rsid w:val="00DC0B35"/>
    <w:rsid w:val="00DE2634"/>
    <w:rsid w:val="00DF4082"/>
    <w:rsid w:val="00DF4AA9"/>
    <w:rsid w:val="00E01705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1664"/>
    <w:rsid w:val="00F825B3"/>
    <w:rsid w:val="00F83E6D"/>
    <w:rsid w:val="00F903F7"/>
    <w:rsid w:val="00FA064B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8CB-9EBC-400A-AFD1-20D8920E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230</cp:revision>
  <cp:lastPrinted>2022-12-08T06:36:00Z</cp:lastPrinted>
  <dcterms:created xsi:type="dcterms:W3CDTF">2015-02-12T08:07:00Z</dcterms:created>
  <dcterms:modified xsi:type="dcterms:W3CDTF">2022-12-08T06:36:00Z</dcterms:modified>
</cp:coreProperties>
</file>