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5" w:rsidRPr="00DD7E88" w:rsidRDefault="00BB4EC5" w:rsidP="00005EA8">
      <w:pPr>
        <w:jc w:val="right"/>
      </w:pPr>
    </w:p>
    <w:p w:rsidR="00005EA8" w:rsidRPr="00DD7E88" w:rsidRDefault="00005EA8" w:rsidP="00005EA8">
      <w:pPr>
        <w:jc w:val="right"/>
      </w:pPr>
      <w:r w:rsidRPr="00DD7E88">
        <w:t xml:space="preserve">Приложение 2 </w:t>
      </w:r>
    </w:p>
    <w:p w:rsidR="00005EA8" w:rsidRPr="00DD7E88" w:rsidRDefault="00005EA8" w:rsidP="00005EA8">
      <w:pPr>
        <w:jc w:val="right"/>
      </w:pPr>
      <w:r w:rsidRPr="00DD7E88">
        <w:t>к тендерной документации</w:t>
      </w:r>
    </w:p>
    <w:p w:rsidR="00005EA8" w:rsidRPr="00DD7E88" w:rsidRDefault="00005EA8" w:rsidP="00005EA8">
      <w:pPr>
        <w:jc w:val="right"/>
      </w:pPr>
    </w:p>
    <w:p w:rsidR="00005EA8" w:rsidRPr="00DD7E88" w:rsidRDefault="00005EA8" w:rsidP="00032882">
      <w:pPr>
        <w:jc w:val="center"/>
        <w:rPr>
          <w:b/>
        </w:rPr>
      </w:pPr>
      <w:r w:rsidRPr="00DD7E88">
        <w:rPr>
          <w:b/>
        </w:rPr>
        <w:t>Техническая спецификация</w:t>
      </w:r>
      <w:r w:rsidR="009F3395" w:rsidRPr="00DD7E88">
        <w:rPr>
          <w:b/>
          <w:bCs/>
        </w:rPr>
        <w:t xml:space="preserve"> медицинских изделий</w:t>
      </w:r>
    </w:p>
    <w:p w:rsidR="00730B30" w:rsidRPr="00DD7E88" w:rsidRDefault="00730B30" w:rsidP="00005EA8"/>
    <w:p w:rsidR="000C05E0" w:rsidRPr="00DD7E88" w:rsidRDefault="000C05E0" w:rsidP="00C74B01">
      <w:pPr>
        <w:ind w:firstLine="567"/>
        <w:jc w:val="both"/>
        <w:rPr>
          <w:b/>
          <w:u w:val="single"/>
        </w:rPr>
      </w:pPr>
    </w:p>
    <w:tbl>
      <w:tblPr>
        <w:tblW w:w="1545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6"/>
        <w:gridCol w:w="2835"/>
        <w:gridCol w:w="11766"/>
      </w:tblGrid>
      <w:tr w:rsidR="00FB62ED" w:rsidRPr="00DD7E88" w:rsidTr="00DD7E88">
        <w:trPr>
          <w:trHeight w:val="68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D" w:rsidRPr="00DD7E88" w:rsidRDefault="001F1108" w:rsidP="00FB62ED">
            <w:pPr>
              <w:jc w:val="center"/>
              <w:rPr>
                <w:b/>
                <w:bCs/>
                <w:color w:val="000000"/>
              </w:rPr>
            </w:pPr>
            <w:r w:rsidRPr="00DD7E88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DD7E88">
              <w:rPr>
                <w:b/>
                <w:bCs/>
                <w:color w:val="000000"/>
              </w:rPr>
              <w:t>п</w:t>
            </w:r>
            <w:proofErr w:type="gramEnd"/>
            <w:r w:rsidRPr="00DD7E88">
              <w:rPr>
                <w:b/>
                <w:bCs/>
                <w:color w:val="00000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D" w:rsidRPr="00DD7E88" w:rsidRDefault="00FB62ED" w:rsidP="00FB62ED">
            <w:pPr>
              <w:jc w:val="center"/>
              <w:rPr>
                <w:b/>
                <w:bCs/>
                <w:color w:val="000000"/>
              </w:rPr>
            </w:pPr>
            <w:r w:rsidRPr="00DD7E88">
              <w:rPr>
                <w:b/>
                <w:bCs/>
                <w:color w:val="000000"/>
              </w:rPr>
              <w:t xml:space="preserve">Наименование  медицинских  изделий 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D" w:rsidRPr="00DD7E88" w:rsidRDefault="00FB62ED" w:rsidP="00FF27EB">
            <w:pPr>
              <w:jc w:val="center"/>
              <w:rPr>
                <w:b/>
                <w:bCs/>
                <w:color w:val="000000"/>
              </w:rPr>
            </w:pPr>
            <w:r w:rsidRPr="00DD7E88">
              <w:rPr>
                <w:b/>
                <w:bCs/>
                <w:color w:val="000000"/>
              </w:rPr>
              <w:t>Техническая спецификация медицинских изделий</w:t>
            </w:r>
          </w:p>
        </w:tc>
      </w:tr>
      <w:tr w:rsidR="0052600D" w:rsidRPr="00DD7E88" w:rsidTr="00DD7E88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proofErr w:type="spellStart"/>
            <w:r w:rsidRPr="00DD7E88">
              <w:rPr>
                <w:color w:val="000000"/>
              </w:rPr>
              <w:t>IsoPrep</w:t>
            </w:r>
            <w:proofErr w:type="spellEnd"/>
            <w:r w:rsidRPr="00DD7E88">
              <w:rPr>
                <w:color w:val="000000"/>
              </w:rPr>
              <w:t>, 10л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both"/>
              <w:rPr>
                <w:color w:val="000000"/>
              </w:rPr>
            </w:pPr>
            <w:r w:rsidRPr="00DD7E88">
              <w:rPr>
                <w:color w:val="000000"/>
              </w:rPr>
              <w:t xml:space="preserve">Состав: - Абсолютизированный </w:t>
            </w:r>
            <w:proofErr w:type="spellStart"/>
            <w:r w:rsidRPr="00DD7E88">
              <w:rPr>
                <w:color w:val="000000"/>
              </w:rPr>
              <w:t>изопропанол</w:t>
            </w:r>
            <w:proofErr w:type="spellEnd"/>
            <w:r w:rsidRPr="00DD7E88">
              <w:rPr>
                <w:color w:val="000000"/>
              </w:rPr>
              <w:t xml:space="preserve"> (концентрации не ниже 99,97%) - Тритон Х15 (</w:t>
            </w:r>
            <w:proofErr w:type="spellStart"/>
            <w:r w:rsidRPr="00DD7E88">
              <w:rPr>
                <w:color w:val="000000"/>
              </w:rPr>
              <w:t>октилфеноксиполиэтоксиэтанол</w:t>
            </w:r>
            <w:proofErr w:type="spellEnd"/>
            <w:r w:rsidRPr="00DD7E88">
              <w:rPr>
                <w:color w:val="000000"/>
              </w:rPr>
              <w:t xml:space="preserve">) Фасовка – 1, 5, 10 литровые канистры. Применение: Полностью готов к применению. </w:t>
            </w:r>
            <w:proofErr w:type="spellStart"/>
            <w:r w:rsidRPr="00DD7E88">
              <w:rPr>
                <w:color w:val="000000"/>
              </w:rPr>
              <w:t>IsoPrep</w:t>
            </w:r>
            <w:proofErr w:type="spellEnd"/>
            <w:r w:rsidRPr="00DD7E88">
              <w:rPr>
                <w:color w:val="000000"/>
              </w:rPr>
              <w:t xml:space="preserve"> применяется для обезвоживания ткани на этапе гистологической проводки. Рекомендуемая толщина образца до 3-4 мм Рекомендуемый протокол проводки прилагается* Пригоден для использования при ручной проводке, а также в аппаратах карусельного и замкнутого типов.</w:t>
            </w:r>
          </w:p>
        </w:tc>
      </w:tr>
      <w:tr w:rsidR="0052600D" w:rsidRPr="00DD7E88" w:rsidTr="00DD7E88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Парафиновая среда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both"/>
              <w:rPr>
                <w:color w:val="000000"/>
              </w:rPr>
            </w:pPr>
            <w:r w:rsidRPr="00DD7E88">
              <w:rPr>
                <w:color w:val="000000"/>
              </w:rPr>
              <w:t xml:space="preserve">Среда парафиновая гомогенизированная для проводки и заливки гистологического материала. Внешний вид: Плоско-выпуклые гранулы, округлой или полигональной формы диаметром 0.5-0.8мм Консистенция - плотная, цвет - белый, запах - отсутствует. Температура плавления (каплепадения) - +54оС, температура кристаллизации - +52оС Упаковка – по 5 кг в пакетах из </w:t>
            </w:r>
            <w:proofErr w:type="spellStart"/>
            <w:r w:rsidRPr="00DD7E88">
              <w:rPr>
                <w:color w:val="000000"/>
              </w:rPr>
              <w:t>крафтовой</w:t>
            </w:r>
            <w:proofErr w:type="spellEnd"/>
            <w:r w:rsidRPr="00DD7E88">
              <w:rPr>
                <w:color w:val="000000"/>
              </w:rPr>
              <w:t xml:space="preserve"> бумаги, помещенных во внешнюю тару из многослойного картона для удобного хранения и транспортировки. </w:t>
            </w:r>
            <w:proofErr w:type="gramStart"/>
            <w:r w:rsidRPr="00DD7E88">
              <w:rPr>
                <w:color w:val="000000"/>
              </w:rPr>
              <w:t>Предназначен</w:t>
            </w:r>
            <w:proofErr w:type="gramEnd"/>
            <w:r w:rsidRPr="00DD7E88">
              <w:rPr>
                <w:color w:val="000000"/>
              </w:rPr>
              <w:t xml:space="preserve"> для пропитывания обезвоженных и обезжиренных тканей жидким парафином при осуществлении гистологических проводки и заливки. По окончании гистологической проводки ткань должна быть полностью обезвожена и обезжирена для </w:t>
            </w:r>
            <w:proofErr w:type="spellStart"/>
            <w:r w:rsidRPr="00DD7E88">
              <w:rPr>
                <w:color w:val="000000"/>
              </w:rPr>
              <w:t>избежания</w:t>
            </w:r>
            <w:proofErr w:type="spellEnd"/>
            <w:r w:rsidRPr="00DD7E88">
              <w:rPr>
                <w:color w:val="000000"/>
              </w:rPr>
              <w:t xml:space="preserve"> дефектов гистологической заливки в виде микроскопических щелей, полостей и трещин. При гистологической заливке очень важна консистенция парафиновой смеси, которая должна обеспечивать необходимый баланс плотности и эластичности парафиновых блоков для обеспечения возможности изготовления парафиновых срезов необходимой толщины и качества. При проводке и заливке не рекомендуется нагревать парафиновую смесь до температуры выше +60оС, при которой могут нарушаться антигенные свойства тканей.</w:t>
            </w:r>
          </w:p>
        </w:tc>
      </w:tr>
      <w:tr w:rsidR="0052600D" w:rsidRPr="00DD7E88" w:rsidTr="00DD7E88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 xml:space="preserve">Гематоксилин </w:t>
            </w:r>
            <w:proofErr w:type="spellStart"/>
            <w:r w:rsidRPr="00DD7E88">
              <w:rPr>
                <w:color w:val="000000"/>
              </w:rPr>
              <w:t>Джилла</w:t>
            </w:r>
            <w:proofErr w:type="spellEnd"/>
            <w:r w:rsidRPr="00DD7E88">
              <w:rPr>
                <w:color w:val="000000"/>
              </w:rPr>
              <w:t xml:space="preserve"> 1000 мл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rPr>
                <w:color w:val="000000"/>
              </w:rPr>
            </w:pPr>
            <w:r w:rsidRPr="00DD7E88">
              <w:rPr>
                <w:color w:val="000000"/>
              </w:rPr>
              <w:t xml:space="preserve">Ядерный краситель </w:t>
            </w:r>
            <w:proofErr w:type="gramStart"/>
            <w:r w:rsidRPr="00DD7E88">
              <w:rPr>
                <w:color w:val="000000"/>
              </w:rPr>
              <w:t>со</w:t>
            </w:r>
            <w:proofErr w:type="gramEnd"/>
            <w:r w:rsidRPr="00DD7E88">
              <w:rPr>
                <w:color w:val="000000"/>
              </w:rPr>
              <w:t xml:space="preserve"> невысоким содержанием гематоксилина, что помогает избежать перекрашивания образцов</w:t>
            </w:r>
          </w:p>
        </w:tc>
      </w:tr>
      <w:tr w:rsidR="0052600D" w:rsidRPr="00DD7E88" w:rsidTr="00DD7E88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proofErr w:type="spellStart"/>
            <w:r w:rsidRPr="00DD7E88">
              <w:rPr>
                <w:color w:val="000000"/>
              </w:rPr>
              <w:t>Орто</w:t>
            </w:r>
            <w:proofErr w:type="spellEnd"/>
            <w:r w:rsidRPr="00DD7E88">
              <w:rPr>
                <w:color w:val="000000"/>
              </w:rPr>
              <w:t>-Ксилол (</w:t>
            </w:r>
            <w:proofErr w:type="spellStart"/>
            <w:r w:rsidRPr="00DD7E88">
              <w:rPr>
                <w:color w:val="000000"/>
              </w:rPr>
              <w:t>чда</w:t>
            </w:r>
            <w:proofErr w:type="spellEnd"/>
            <w:r w:rsidRPr="00DD7E88">
              <w:rPr>
                <w:color w:val="000000"/>
              </w:rPr>
              <w:t>)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both"/>
              <w:rPr>
                <w:color w:val="000000"/>
              </w:rPr>
            </w:pPr>
            <w:r w:rsidRPr="00DD7E88">
              <w:rPr>
                <w:color w:val="000000"/>
              </w:rPr>
              <w:t xml:space="preserve">Компонент раствора для гистологической проводки тканей. Является углеводородом ароматического ряда, состоящим из </w:t>
            </w:r>
            <w:proofErr w:type="spellStart"/>
            <w:r w:rsidRPr="00DD7E88">
              <w:rPr>
                <w:color w:val="000000"/>
              </w:rPr>
              <w:t>бензольного</w:t>
            </w:r>
            <w:proofErr w:type="spellEnd"/>
            <w:r w:rsidRPr="00DD7E88">
              <w:rPr>
                <w:color w:val="000000"/>
              </w:rPr>
              <w:t xml:space="preserve"> кольца и двух </w:t>
            </w:r>
            <w:proofErr w:type="spellStart"/>
            <w:r w:rsidRPr="00DD7E88">
              <w:rPr>
                <w:color w:val="000000"/>
              </w:rPr>
              <w:t>метильных</w:t>
            </w:r>
            <w:proofErr w:type="spellEnd"/>
            <w:r w:rsidRPr="00DD7E88">
              <w:rPr>
                <w:color w:val="000000"/>
              </w:rPr>
              <w:t xml:space="preserve"> групп, получают при коксовании угля или из нефти путём каталитического </w:t>
            </w:r>
            <w:proofErr w:type="spellStart"/>
            <w:r w:rsidRPr="00DD7E88">
              <w:rPr>
                <w:color w:val="000000"/>
              </w:rPr>
              <w:t>риформинга</w:t>
            </w:r>
            <w:proofErr w:type="spellEnd"/>
            <w:r w:rsidRPr="00DD7E88">
              <w:rPr>
                <w:color w:val="000000"/>
              </w:rPr>
              <w:t xml:space="preserve"> прямогонной бензиновой фракции. В гистологии применяется в виде </w:t>
            </w:r>
            <w:proofErr w:type="spellStart"/>
            <w:r w:rsidRPr="00DD7E88">
              <w:rPr>
                <w:color w:val="000000"/>
              </w:rPr>
              <w:t>орто</w:t>
            </w:r>
            <w:proofErr w:type="spellEnd"/>
            <w:r w:rsidRPr="00DD7E88">
              <w:rPr>
                <w:color w:val="000000"/>
              </w:rPr>
              <w:t>-изомера в качестве растворителя парафиновых сред для проводки и заливки, монтирующих сред. Является медицинским изделием для ин-</w:t>
            </w:r>
            <w:proofErr w:type="spellStart"/>
            <w:r w:rsidRPr="00DD7E88">
              <w:rPr>
                <w:color w:val="000000"/>
              </w:rPr>
              <w:t>витро</w:t>
            </w:r>
            <w:proofErr w:type="spellEnd"/>
            <w:r w:rsidRPr="00DD7E88">
              <w:rPr>
                <w:color w:val="000000"/>
              </w:rPr>
              <w:t xml:space="preserve"> диагностики. Представляет собой химически </w:t>
            </w:r>
            <w:proofErr w:type="gramStart"/>
            <w:r w:rsidRPr="00DD7E88">
              <w:rPr>
                <w:color w:val="000000"/>
              </w:rPr>
              <w:t>чистый</w:t>
            </w:r>
            <w:proofErr w:type="gramEnd"/>
            <w:r w:rsidRPr="00DD7E88">
              <w:rPr>
                <w:color w:val="000000"/>
              </w:rPr>
              <w:t xml:space="preserve"> </w:t>
            </w:r>
            <w:proofErr w:type="spellStart"/>
            <w:r w:rsidRPr="00DD7E88">
              <w:rPr>
                <w:color w:val="000000"/>
              </w:rPr>
              <w:t>орто</w:t>
            </w:r>
            <w:proofErr w:type="spellEnd"/>
            <w:r w:rsidRPr="00DD7E88">
              <w:rPr>
                <w:color w:val="000000"/>
              </w:rPr>
              <w:t xml:space="preserve">-изомер ксилола. Внешний вид: бесцветная прозрачная жидкость с характерным запахом, хорошо растворим в изопропиловом спирте, ацетоне, толуоле. </w:t>
            </w:r>
            <w:proofErr w:type="gramStart"/>
            <w:r w:rsidRPr="00DD7E88">
              <w:rPr>
                <w:color w:val="000000"/>
              </w:rPr>
              <w:t>Нерастворим</w:t>
            </w:r>
            <w:proofErr w:type="gramEnd"/>
            <w:r w:rsidRPr="00DD7E88">
              <w:rPr>
                <w:color w:val="000000"/>
              </w:rPr>
              <w:t xml:space="preserve"> в воде. Облегчает пропитывание тканей парафином при проводке и заливке. Упаковка: темное стекло</w:t>
            </w:r>
          </w:p>
        </w:tc>
      </w:tr>
      <w:tr w:rsidR="0052600D" w:rsidRPr="00DD7E88" w:rsidTr="00DD7E88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Декальцинирующий раствор электролитный , 1л.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both"/>
              <w:rPr>
                <w:color w:val="000000"/>
              </w:rPr>
            </w:pPr>
            <w:r w:rsidRPr="00DD7E88">
              <w:rPr>
                <w:color w:val="000000"/>
              </w:rPr>
              <w:t xml:space="preserve">Раствор для </w:t>
            </w:r>
            <w:proofErr w:type="gramStart"/>
            <w:r w:rsidRPr="00DD7E88">
              <w:rPr>
                <w:color w:val="000000"/>
              </w:rPr>
              <w:t>быстрой</w:t>
            </w:r>
            <w:proofErr w:type="gramEnd"/>
            <w:r w:rsidRPr="00DD7E88">
              <w:rPr>
                <w:color w:val="000000"/>
              </w:rPr>
              <w:t xml:space="preserve"> </w:t>
            </w:r>
            <w:proofErr w:type="spellStart"/>
            <w:r w:rsidRPr="00DD7E88">
              <w:rPr>
                <w:color w:val="000000"/>
              </w:rPr>
              <w:t>декальцификации</w:t>
            </w:r>
            <w:proofErr w:type="spellEnd"/>
            <w:r w:rsidRPr="00DD7E88">
              <w:rPr>
                <w:color w:val="000000"/>
              </w:rPr>
              <w:t xml:space="preserve">. </w:t>
            </w:r>
            <w:proofErr w:type="gramStart"/>
            <w:r w:rsidRPr="00DD7E88">
              <w:rPr>
                <w:color w:val="000000"/>
              </w:rPr>
              <w:t>Эффективен</w:t>
            </w:r>
            <w:proofErr w:type="gramEnd"/>
            <w:r w:rsidRPr="00DD7E88">
              <w:rPr>
                <w:color w:val="000000"/>
              </w:rPr>
              <w:t xml:space="preserve"> в отношении компактных костных тканей, а так же отдельных кальциевых конкреций и депозитов в мягких тканях.</w:t>
            </w:r>
          </w:p>
        </w:tc>
      </w:tr>
      <w:tr w:rsidR="0052600D" w:rsidRPr="00DD7E88" w:rsidTr="00DD7E88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212529"/>
              </w:rPr>
            </w:pPr>
            <w:r w:rsidRPr="00DD7E88">
              <w:rPr>
                <w:color w:val="212529"/>
              </w:rPr>
              <w:t xml:space="preserve">Планшет для предметных стекол на 20 мест, </w:t>
            </w:r>
            <w:proofErr w:type="gramStart"/>
            <w:r w:rsidRPr="00DD7E88">
              <w:rPr>
                <w:color w:val="212529"/>
              </w:rPr>
              <w:t>п</w:t>
            </w:r>
            <w:proofErr w:type="gramEnd"/>
            <w:r w:rsidRPr="00DD7E88">
              <w:rPr>
                <w:color w:val="212529"/>
              </w:rPr>
              <w:t xml:space="preserve">/с, </w:t>
            </w:r>
            <w:proofErr w:type="spellStart"/>
            <w:r w:rsidRPr="00DD7E88">
              <w:rPr>
                <w:color w:val="212529"/>
              </w:rPr>
              <w:t>инд.уп</w:t>
            </w:r>
            <w:proofErr w:type="spellEnd"/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both"/>
              <w:rPr>
                <w:color w:val="212529"/>
              </w:rPr>
            </w:pPr>
            <w:r w:rsidRPr="00DD7E88">
              <w:rPr>
                <w:color w:val="212529"/>
              </w:rPr>
              <w:t xml:space="preserve">Предназначен для высушивания и хранения предметных стекол размером 76х26 мм в научно-исследовательских лабораториях. </w:t>
            </w:r>
            <w:proofErr w:type="gramStart"/>
            <w:r w:rsidRPr="00DD7E88">
              <w:rPr>
                <w:color w:val="212529"/>
              </w:rPr>
              <w:t>Изготовлен</w:t>
            </w:r>
            <w:proofErr w:type="gramEnd"/>
            <w:r w:rsidRPr="00DD7E88">
              <w:rPr>
                <w:color w:val="212529"/>
              </w:rPr>
              <w:t xml:space="preserve"> из полистирола.</w:t>
            </w:r>
          </w:p>
        </w:tc>
      </w:tr>
      <w:tr w:rsidR="0052600D" w:rsidRPr="00DD7E88" w:rsidTr="00DD7E88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Формалин 40%, 10 л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both"/>
              <w:rPr>
                <w:color w:val="000000"/>
              </w:rPr>
            </w:pPr>
            <w:r w:rsidRPr="00DD7E88">
              <w:rPr>
                <w:color w:val="000000"/>
              </w:rPr>
              <w:t xml:space="preserve">Реагент для сохранения и консервации биологического материала. </w:t>
            </w:r>
            <w:proofErr w:type="gramStart"/>
            <w:r w:rsidRPr="00DD7E88">
              <w:rPr>
                <w:color w:val="000000"/>
              </w:rPr>
              <w:t>Предназначен</w:t>
            </w:r>
            <w:proofErr w:type="gramEnd"/>
            <w:r w:rsidRPr="00DD7E88">
              <w:rPr>
                <w:color w:val="000000"/>
              </w:rPr>
              <w:t xml:space="preserve"> для стабилизации и уплотнения тканевых структур перед дальнейшим гистологическим исследованием. Может быть </w:t>
            </w:r>
            <w:proofErr w:type="gramStart"/>
            <w:r w:rsidRPr="00DD7E88">
              <w:rPr>
                <w:color w:val="000000"/>
              </w:rPr>
              <w:t>разбавлен</w:t>
            </w:r>
            <w:proofErr w:type="gramEnd"/>
            <w:r w:rsidRPr="00DD7E88">
              <w:rPr>
                <w:color w:val="000000"/>
              </w:rPr>
              <w:t xml:space="preserve"> дистиллированной водой или буферным раствором. </w:t>
            </w:r>
            <w:proofErr w:type="spellStart"/>
            <w:r w:rsidRPr="00DD7E88">
              <w:rPr>
                <w:color w:val="000000"/>
              </w:rPr>
              <w:t>Преставляет</w:t>
            </w:r>
            <w:proofErr w:type="spellEnd"/>
            <w:r w:rsidRPr="00DD7E88">
              <w:rPr>
                <w:color w:val="000000"/>
              </w:rPr>
              <w:t xml:space="preserve"> собой 37,5-39,5% водный раствор формальдегида. Внешний вид: бесцветный прозрачный раствор. Степень чистоты: Высокая. Не содержит механических примесей. Запах: резкий запах формальдегида. Допускается наличие осадка или мути, растворимых при нагревании не выше 40 </w:t>
            </w:r>
            <w:proofErr w:type="spellStart"/>
            <w:r w:rsidRPr="00DD7E88">
              <w:rPr>
                <w:color w:val="000000"/>
              </w:rPr>
              <w:t>оС</w:t>
            </w:r>
            <w:proofErr w:type="spellEnd"/>
            <w:r w:rsidRPr="00DD7E88">
              <w:rPr>
                <w:color w:val="000000"/>
              </w:rPr>
              <w:t>. рН раствора 3-4</w:t>
            </w:r>
            <w:proofErr w:type="gramStart"/>
            <w:r w:rsidRPr="00DD7E88">
              <w:rPr>
                <w:color w:val="000000"/>
              </w:rPr>
              <w:t xml:space="preserve"> П</w:t>
            </w:r>
            <w:proofErr w:type="gramEnd"/>
            <w:r w:rsidRPr="00DD7E88">
              <w:rPr>
                <w:color w:val="000000"/>
              </w:rPr>
              <w:t>ри неправильном хранении и транспортировке возможна потеря фиксирующих свойств формалина вследствие понижения рН и полимеризации раствора. Упаковка пластик</w:t>
            </w:r>
          </w:p>
        </w:tc>
      </w:tr>
      <w:tr w:rsidR="0052600D" w:rsidRPr="00DD7E88" w:rsidTr="00DD7E88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Держатель на 25 предметных стёкол с пластиковой ручкой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rPr>
                <w:color w:val="000000"/>
              </w:rPr>
            </w:pPr>
            <w:r w:rsidRPr="00DD7E88">
              <w:rPr>
                <w:color w:val="000000"/>
              </w:rPr>
              <w:t>Используется на этапе окраски микропрепаратов в упаковке 6 штук</w:t>
            </w:r>
          </w:p>
        </w:tc>
      </w:tr>
      <w:tr w:rsidR="0052600D" w:rsidRPr="00DD7E88" w:rsidTr="00DD7E88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 xml:space="preserve">Желатиновый </w:t>
            </w:r>
            <w:proofErr w:type="spellStart"/>
            <w:r w:rsidRPr="00DD7E88">
              <w:rPr>
                <w:color w:val="000000"/>
              </w:rPr>
              <w:t>адгезив</w:t>
            </w:r>
            <w:proofErr w:type="spellEnd"/>
            <w:r w:rsidRPr="00DD7E88">
              <w:rPr>
                <w:color w:val="000000"/>
              </w:rPr>
              <w:t xml:space="preserve"> для срезов 150 мл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rPr>
                <w:color w:val="000000"/>
              </w:rPr>
            </w:pPr>
            <w:r w:rsidRPr="00DD7E88">
              <w:rPr>
                <w:color w:val="000000"/>
              </w:rPr>
              <w:t>Адгезионная среда для гистологических препаратов</w:t>
            </w:r>
          </w:p>
        </w:tc>
      </w:tr>
      <w:tr w:rsidR="0052600D" w:rsidRPr="00DD7E88" w:rsidTr="00DD7E88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proofErr w:type="spellStart"/>
            <w:r w:rsidRPr="00DD7E88">
              <w:rPr>
                <w:color w:val="000000"/>
              </w:rPr>
              <w:t>Криоспрей</w:t>
            </w:r>
            <w:proofErr w:type="spellEnd"/>
            <w:r w:rsidRPr="00DD7E88">
              <w:rPr>
                <w:color w:val="000000"/>
              </w:rPr>
              <w:t>, активный хладагент, заключённый в аэрозольный баллон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rPr>
                <w:color w:val="000000"/>
              </w:rPr>
            </w:pPr>
            <w:r w:rsidRPr="00DD7E88">
              <w:rPr>
                <w:color w:val="000000"/>
              </w:rPr>
              <w:t>Активный хладагент, заключённый в аэрозольный баллон</w:t>
            </w:r>
            <w:proofErr w:type="gramStart"/>
            <w:r w:rsidRPr="00DD7E88">
              <w:rPr>
                <w:color w:val="000000"/>
              </w:rPr>
              <w:t>.</w:t>
            </w:r>
            <w:proofErr w:type="gramEnd"/>
            <w:r w:rsidRPr="00DD7E88">
              <w:rPr>
                <w:color w:val="000000"/>
              </w:rPr>
              <w:t xml:space="preserve"> </w:t>
            </w:r>
            <w:proofErr w:type="gramStart"/>
            <w:r w:rsidRPr="00DD7E88">
              <w:rPr>
                <w:color w:val="000000"/>
              </w:rPr>
              <w:t>д</w:t>
            </w:r>
            <w:proofErr w:type="gramEnd"/>
            <w:r w:rsidRPr="00DD7E88">
              <w:rPr>
                <w:color w:val="000000"/>
              </w:rPr>
              <w:t xml:space="preserve">ля заморозки образца ткани перед помещением в криостат. для обработки парафиновых блоков на этапе </w:t>
            </w:r>
            <w:proofErr w:type="spellStart"/>
            <w:r w:rsidRPr="00DD7E88">
              <w:rPr>
                <w:color w:val="000000"/>
              </w:rPr>
              <w:t>микротомии</w:t>
            </w:r>
            <w:proofErr w:type="spellEnd"/>
            <w:r w:rsidRPr="00DD7E88">
              <w:rPr>
                <w:color w:val="000000"/>
              </w:rPr>
              <w:t>. Баллон снабжён съёмным удлинённым наконечником, обеспечивающим целевое, экономное и удобное нанесение реагента на материал. Можно использовать при отсутствии столика для замораживания.210 мл</w:t>
            </w:r>
          </w:p>
        </w:tc>
      </w:tr>
      <w:tr w:rsidR="0052600D" w:rsidRPr="00DD7E88" w:rsidTr="00DD7E88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Предметное стекло для микроскопии, с матовым полем, с папиросной бумагой с чередованием.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rPr>
                <w:color w:val="000000"/>
              </w:rPr>
            </w:pPr>
            <w:r w:rsidRPr="00DD7E88">
              <w:rPr>
                <w:color w:val="000000"/>
              </w:rPr>
              <w:t>Предметное стекло для микроскопии, с матовым полем, 45° Углы, ДИМ. 75.0(+0,5) x 25.0(+0.5)мм,1,0-1,2 мм толщиной. С папиросной бумагой с чередованием. 50шт./коробка.</w:t>
            </w:r>
          </w:p>
        </w:tc>
      </w:tr>
      <w:tr w:rsidR="0052600D" w:rsidRPr="00DD7E88" w:rsidTr="00DD7E88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 xml:space="preserve">Одноразовые </w:t>
            </w:r>
            <w:proofErr w:type="spellStart"/>
            <w:r w:rsidRPr="00DD7E88">
              <w:rPr>
                <w:color w:val="000000"/>
              </w:rPr>
              <w:t>микротомные</w:t>
            </w:r>
            <w:proofErr w:type="spellEnd"/>
            <w:r w:rsidRPr="00DD7E88">
              <w:rPr>
                <w:color w:val="000000"/>
              </w:rPr>
              <w:t xml:space="preserve"> ножи N35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rPr>
                <w:color w:val="000000"/>
              </w:rPr>
            </w:pPr>
            <w:proofErr w:type="gramStart"/>
            <w:r w:rsidRPr="00DD7E88">
              <w:rPr>
                <w:color w:val="000000"/>
              </w:rPr>
              <w:t>Предназначены</w:t>
            </w:r>
            <w:proofErr w:type="gramEnd"/>
            <w:r w:rsidRPr="00DD7E88">
              <w:rPr>
                <w:color w:val="000000"/>
              </w:rPr>
              <w:t xml:space="preserve"> для </w:t>
            </w:r>
            <w:proofErr w:type="spellStart"/>
            <w:r w:rsidRPr="00DD7E88">
              <w:rPr>
                <w:color w:val="000000"/>
              </w:rPr>
              <w:t>микротомирования</w:t>
            </w:r>
            <w:proofErr w:type="spellEnd"/>
            <w:r w:rsidRPr="00DD7E88">
              <w:rPr>
                <w:color w:val="000000"/>
              </w:rPr>
              <w:t xml:space="preserve"> твердых образцов. 50шт/</w:t>
            </w:r>
            <w:proofErr w:type="spellStart"/>
            <w:r w:rsidRPr="00DD7E88">
              <w:rPr>
                <w:color w:val="000000"/>
              </w:rPr>
              <w:t>уп</w:t>
            </w:r>
            <w:proofErr w:type="spellEnd"/>
          </w:p>
        </w:tc>
      </w:tr>
      <w:tr w:rsidR="0052600D" w:rsidRPr="00DD7E88" w:rsidTr="00DD7E88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 xml:space="preserve">Одноразовые </w:t>
            </w:r>
            <w:proofErr w:type="spellStart"/>
            <w:r w:rsidRPr="00DD7E88">
              <w:rPr>
                <w:color w:val="000000"/>
              </w:rPr>
              <w:t>микротомные</w:t>
            </w:r>
            <w:proofErr w:type="spellEnd"/>
            <w:r w:rsidRPr="00DD7E88">
              <w:rPr>
                <w:color w:val="000000"/>
              </w:rPr>
              <w:t xml:space="preserve"> ножи S35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rPr>
                <w:color w:val="000000"/>
              </w:rPr>
            </w:pPr>
            <w:proofErr w:type="gramStart"/>
            <w:r w:rsidRPr="00DD7E88">
              <w:rPr>
                <w:color w:val="000000"/>
              </w:rPr>
              <w:t>Предназначены</w:t>
            </w:r>
            <w:proofErr w:type="gramEnd"/>
            <w:r w:rsidRPr="00DD7E88">
              <w:rPr>
                <w:color w:val="000000"/>
              </w:rPr>
              <w:t xml:space="preserve"> для серийных и мягких срезов. 50шт/</w:t>
            </w:r>
            <w:proofErr w:type="spellStart"/>
            <w:r w:rsidRPr="00DD7E88">
              <w:rPr>
                <w:color w:val="000000"/>
              </w:rPr>
              <w:t>уп</w:t>
            </w:r>
            <w:proofErr w:type="spellEnd"/>
          </w:p>
        </w:tc>
      </w:tr>
      <w:tr w:rsidR="0052600D" w:rsidRPr="00DD7E88" w:rsidTr="00DD7E88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Эозин 1% водный раствор, 1000 мл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rPr>
                <w:color w:val="000000"/>
              </w:rPr>
            </w:pPr>
            <w:r w:rsidRPr="00DD7E88">
              <w:rPr>
                <w:color w:val="000000"/>
              </w:rPr>
              <w:t xml:space="preserve">Эозин является цитоплазматическим красителем. Окрашивает цитоплазму клеток и волокна межклеточного вещества в срезах и цитологических препаратах в различные оттенки розового цвета. </w:t>
            </w:r>
            <w:proofErr w:type="gramStart"/>
            <w:r w:rsidRPr="00DD7E88">
              <w:rPr>
                <w:color w:val="000000"/>
              </w:rPr>
              <w:t>Предназначен</w:t>
            </w:r>
            <w:proofErr w:type="gramEnd"/>
            <w:r w:rsidRPr="00DD7E88">
              <w:rPr>
                <w:color w:val="000000"/>
              </w:rPr>
              <w:t xml:space="preserve"> для использования в качестве цитоплазматического красителя после окраски гематоксилином.  Спиртовые растворы эозина окрашивают ткани более интенсивно, чем водные.</w:t>
            </w:r>
          </w:p>
        </w:tc>
      </w:tr>
      <w:tr w:rsidR="0052600D" w:rsidRPr="00DD7E88" w:rsidTr="00DD7E88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 xml:space="preserve">Формалин 10% </w:t>
            </w:r>
            <w:proofErr w:type="spellStart"/>
            <w:r w:rsidRPr="00DD7E88">
              <w:rPr>
                <w:color w:val="000000"/>
              </w:rPr>
              <w:t>забуференный</w:t>
            </w:r>
            <w:proofErr w:type="spellEnd"/>
            <w:r w:rsidRPr="00DD7E88">
              <w:rPr>
                <w:color w:val="000000"/>
              </w:rPr>
              <w:t>, 10 л.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rPr>
                <w:color w:val="000000"/>
              </w:rPr>
            </w:pPr>
            <w:r w:rsidRPr="00DD7E88">
              <w:rPr>
                <w:color w:val="000000"/>
              </w:rPr>
              <w:t xml:space="preserve">Универсальный фиксатор для гистологических образцов Состав: - Натрия </w:t>
            </w:r>
            <w:proofErr w:type="spellStart"/>
            <w:r w:rsidRPr="00DD7E88">
              <w:rPr>
                <w:color w:val="000000"/>
              </w:rPr>
              <w:t>дигидрофосфат</w:t>
            </w:r>
            <w:proofErr w:type="spellEnd"/>
            <w:r w:rsidRPr="00DD7E88">
              <w:rPr>
                <w:color w:val="000000"/>
              </w:rPr>
              <w:t xml:space="preserve"> - Натрия </w:t>
            </w:r>
            <w:proofErr w:type="spellStart"/>
            <w:r w:rsidRPr="00DD7E88">
              <w:rPr>
                <w:color w:val="000000"/>
              </w:rPr>
              <w:t>монофосфат</w:t>
            </w:r>
            <w:proofErr w:type="spellEnd"/>
            <w:r w:rsidRPr="00DD7E88">
              <w:rPr>
                <w:color w:val="000000"/>
              </w:rPr>
              <w:t xml:space="preserve"> - Формальдегид 40% - </w:t>
            </w:r>
            <w:proofErr w:type="spellStart"/>
            <w:r w:rsidRPr="00DD7E88">
              <w:rPr>
                <w:color w:val="000000"/>
              </w:rPr>
              <w:t>Деионизированная</w:t>
            </w:r>
            <w:proofErr w:type="spellEnd"/>
            <w:r w:rsidRPr="00DD7E88">
              <w:rPr>
                <w:color w:val="000000"/>
              </w:rPr>
              <w:t xml:space="preserve"> вода Применение: - Универсальный фиксатор для гистологических образцов - Соотношение ткань/фиксатор 1:50 - Рекомендуемая толщина образца максимально 1 см - Время фиксации 5 часов при толщине образца менее 5 мм - 1-2 дня при фиксации образцов большего размера Фасовка 10 л</w:t>
            </w:r>
          </w:p>
        </w:tc>
      </w:tr>
      <w:tr w:rsidR="0052600D" w:rsidRPr="00DD7E88" w:rsidTr="00DD7E88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Стекло покр</w:t>
            </w:r>
            <w:bookmarkStart w:id="0" w:name="_GoBack"/>
            <w:bookmarkEnd w:id="0"/>
            <w:r w:rsidRPr="00DD7E88">
              <w:rPr>
                <w:color w:val="000000"/>
              </w:rPr>
              <w:t>овное 24х50 мм,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rPr>
                <w:color w:val="000000"/>
              </w:rPr>
            </w:pPr>
            <w:r w:rsidRPr="00DD7E88">
              <w:rPr>
                <w:color w:val="000000"/>
              </w:rPr>
              <w:t xml:space="preserve">Покровные стекла обладают великолепной ровностью и гибкостью, что обеспечивает качественное покрытие даже при большой площади препарата. Толщина 0,13-0,16 мм 100 </w:t>
            </w:r>
            <w:proofErr w:type="spellStart"/>
            <w:proofErr w:type="gramStart"/>
            <w:r w:rsidRPr="00DD7E88">
              <w:rPr>
                <w:color w:val="000000"/>
              </w:rPr>
              <w:t>шт</w:t>
            </w:r>
            <w:proofErr w:type="spellEnd"/>
            <w:proofErr w:type="gramEnd"/>
            <w:r w:rsidRPr="00DD7E88">
              <w:rPr>
                <w:color w:val="000000"/>
              </w:rPr>
              <w:t>/</w:t>
            </w:r>
            <w:proofErr w:type="spellStart"/>
            <w:r w:rsidRPr="00DD7E88">
              <w:rPr>
                <w:color w:val="000000"/>
              </w:rPr>
              <w:t>уп</w:t>
            </w:r>
            <w:proofErr w:type="spellEnd"/>
          </w:p>
        </w:tc>
      </w:tr>
      <w:tr w:rsidR="0052600D" w:rsidRPr="00DD7E88" w:rsidTr="00DD7E88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Монтирующая среда 500 мл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rPr>
                <w:color w:val="000000"/>
              </w:rPr>
            </w:pPr>
            <w:r w:rsidRPr="00DD7E88">
              <w:rPr>
                <w:color w:val="000000"/>
              </w:rPr>
              <w:t>Синтетическая монтирующая среда для приготовления гистологических и цитологических препаратов</w:t>
            </w:r>
          </w:p>
        </w:tc>
      </w:tr>
      <w:tr w:rsidR="0052600D" w:rsidRPr="00DD7E88" w:rsidTr="00DD7E88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Заменитель ксилол 10 литров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rPr>
                <w:color w:val="000000"/>
              </w:rPr>
            </w:pPr>
            <w:r w:rsidRPr="00DD7E88">
              <w:rPr>
                <w:color w:val="000000"/>
              </w:rPr>
              <w:t xml:space="preserve">Заменитель ксилола: Состав: </w:t>
            </w:r>
            <w:proofErr w:type="spellStart"/>
            <w:r w:rsidRPr="00DD7E88">
              <w:rPr>
                <w:color w:val="000000"/>
              </w:rPr>
              <w:t>изопарафиновые</w:t>
            </w:r>
            <w:proofErr w:type="spellEnd"/>
            <w:r w:rsidRPr="00DD7E88">
              <w:rPr>
                <w:color w:val="000000"/>
              </w:rPr>
              <w:t xml:space="preserve"> углеводороды. Хранение: 5 лет при температуре 18-30С. Запаха нет. Влияние на окружающую среду: не загрязняет, биоразрушаемый  </w:t>
            </w:r>
          </w:p>
        </w:tc>
      </w:tr>
      <w:tr w:rsidR="0052600D" w:rsidRPr="00DD7E88" w:rsidTr="00DD7E88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Ван-</w:t>
            </w:r>
            <w:proofErr w:type="spellStart"/>
            <w:r w:rsidRPr="00DD7E88">
              <w:rPr>
                <w:color w:val="000000"/>
              </w:rPr>
              <w:t>Гизон</w:t>
            </w:r>
            <w:proofErr w:type="spellEnd"/>
            <w:r w:rsidRPr="00DD7E88">
              <w:rPr>
                <w:color w:val="000000"/>
              </w:rPr>
              <w:t xml:space="preserve"> 100 тестов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rPr>
                <w:color w:val="000000"/>
              </w:rPr>
            </w:pPr>
            <w:r w:rsidRPr="00DD7E88">
              <w:rPr>
                <w:color w:val="000000"/>
              </w:rPr>
              <w:t xml:space="preserve">Рекомендуется для окраски </w:t>
            </w:r>
            <w:proofErr w:type="spellStart"/>
            <w:r w:rsidRPr="00DD7E88">
              <w:rPr>
                <w:color w:val="000000"/>
              </w:rPr>
              <w:t>соединиетльной</w:t>
            </w:r>
            <w:proofErr w:type="spellEnd"/>
            <w:r w:rsidRPr="00DD7E88">
              <w:rPr>
                <w:color w:val="000000"/>
              </w:rPr>
              <w:t xml:space="preserve"> ткани, особенно с целью выделения коллагеновых волокон. В состав препарата входят  три различных красителя: железный гематоксилин по </w:t>
            </w:r>
            <w:proofErr w:type="spellStart"/>
            <w:r w:rsidRPr="00DD7E88">
              <w:rPr>
                <w:color w:val="000000"/>
              </w:rPr>
              <w:t>Вейгеру</w:t>
            </w:r>
            <w:proofErr w:type="spellEnd"/>
            <w:r w:rsidRPr="00DD7E88">
              <w:rPr>
                <w:color w:val="000000"/>
              </w:rPr>
              <w:t xml:space="preserve"> для окрашивания ядер,  пикриновая кислота для цитоплазмы, кислый фуксин для коллагена. Состав набора: Гематоксилин </w:t>
            </w:r>
            <w:proofErr w:type="spellStart"/>
            <w:r w:rsidRPr="00DD7E88">
              <w:rPr>
                <w:color w:val="000000"/>
              </w:rPr>
              <w:t>Вейгера</w:t>
            </w:r>
            <w:proofErr w:type="spellEnd"/>
            <w:r w:rsidRPr="00DD7E88">
              <w:rPr>
                <w:color w:val="000000"/>
              </w:rPr>
              <w:t xml:space="preserve"> 50 мл, </w:t>
            </w:r>
            <w:proofErr w:type="spellStart"/>
            <w:r w:rsidRPr="00DD7E88">
              <w:rPr>
                <w:color w:val="000000"/>
              </w:rPr>
              <w:t>гемотаксиллин</w:t>
            </w:r>
            <w:proofErr w:type="spellEnd"/>
            <w:r w:rsidRPr="00DD7E88">
              <w:rPr>
                <w:color w:val="000000"/>
              </w:rPr>
              <w:t xml:space="preserve"> </w:t>
            </w:r>
            <w:proofErr w:type="spellStart"/>
            <w:r w:rsidRPr="00DD7E88">
              <w:rPr>
                <w:color w:val="000000"/>
              </w:rPr>
              <w:t>Вейгера</w:t>
            </w:r>
            <w:proofErr w:type="spellEnd"/>
            <w:proofErr w:type="gramStart"/>
            <w:r w:rsidRPr="00DD7E88">
              <w:rPr>
                <w:color w:val="000000"/>
              </w:rPr>
              <w:t xml:space="preserve"> В</w:t>
            </w:r>
            <w:proofErr w:type="gramEnd"/>
            <w:r w:rsidRPr="00DD7E88">
              <w:rPr>
                <w:color w:val="000000"/>
              </w:rPr>
              <w:t xml:space="preserve"> -50 мл, </w:t>
            </w:r>
            <w:proofErr w:type="spellStart"/>
            <w:r w:rsidRPr="00DD7E88">
              <w:rPr>
                <w:color w:val="000000"/>
              </w:rPr>
              <w:t>пикрофуксин</w:t>
            </w:r>
            <w:proofErr w:type="spellEnd"/>
            <w:r w:rsidRPr="00DD7E88">
              <w:rPr>
                <w:color w:val="000000"/>
              </w:rPr>
              <w:t xml:space="preserve"> по Ван Гизону-50 мл</w:t>
            </w:r>
          </w:p>
        </w:tc>
      </w:tr>
      <w:tr w:rsidR="0052600D" w:rsidRPr="00DD7E88" w:rsidTr="00DD7E88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proofErr w:type="spellStart"/>
            <w:r w:rsidRPr="00DD7E88">
              <w:rPr>
                <w:color w:val="000000"/>
              </w:rPr>
              <w:t>Миелдок</w:t>
            </w:r>
            <w:proofErr w:type="spellEnd"/>
            <w:r w:rsidRPr="00DD7E88">
              <w:rPr>
                <w:color w:val="000000"/>
              </w:rPr>
              <w:t xml:space="preserve">  100 мл*10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rPr>
                <w:color w:val="000000"/>
              </w:rPr>
            </w:pPr>
            <w:r w:rsidRPr="00DD7E88">
              <w:rPr>
                <w:color w:val="000000"/>
              </w:rPr>
              <w:t>Фиксатор/</w:t>
            </w:r>
            <w:proofErr w:type="spellStart"/>
            <w:r w:rsidRPr="00DD7E88">
              <w:rPr>
                <w:color w:val="000000"/>
              </w:rPr>
              <w:t>декальцификатор</w:t>
            </w:r>
            <w:proofErr w:type="spellEnd"/>
            <w:r w:rsidRPr="00DD7E88">
              <w:rPr>
                <w:color w:val="000000"/>
              </w:rPr>
              <w:t xml:space="preserve"> для </w:t>
            </w:r>
            <w:proofErr w:type="spellStart"/>
            <w:r w:rsidRPr="00DD7E88">
              <w:rPr>
                <w:color w:val="000000"/>
              </w:rPr>
              <w:t>биоптатов</w:t>
            </w:r>
            <w:proofErr w:type="spellEnd"/>
            <w:r w:rsidRPr="00DD7E88">
              <w:rPr>
                <w:color w:val="000000"/>
              </w:rPr>
              <w:t xml:space="preserve">  костного мозга, рекомендуется при диагностике и исследованиях гематологических болезней.</w:t>
            </w:r>
          </w:p>
        </w:tc>
      </w:tr>
      <w:tr w:rsidR="0052600D" w:rsidRPr="00DD7E88" w:rsidTr="00DD7E88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jc w:val="center"/>
              <w:rPr>
                <w:color w:val="000000"/>
              </w:rPr>
            </w:pPr>
            <w:r w:rsidRPr="00DD7E88">
              <w:rPr>
                <w:color w:val="000000"/>
              </w:rPr>
              <w:t xml:space="preserve">Окраска по </w:t>
            </w:r>
            <w:proofErr w:type="spellStart"/>
            <w:r w:rsidRPr="00DD7E88">
              <w:rPr>
                <w:color w:val="000000"/>
              </w:rPr>
              <w:t>Массону</w:t>
            </w:r>
            <w:proofErr w:type="spellEnd"/>
            <w:r w:rsidRPr="00DD7E88">
              <w:rPr>
                <w:color w:val="000000"/>
              </w:rPr>
              <w:t xml:space="preserve">  с </w:t>
            </w:r>
            <w:proofErr w:type="gramStart"/>
            <w:r w:rsidRPr="00DD7E88">
              <w:rPr>
                <w:color w:val="000000"/>
              </w:rPr>
              <w:t>анилиновым</w:t>
            </w:r>
            <w:proofErr w:type="gramEnd"/>
            <w:r w:rsidRPr="00DD7E88">
              <w:rPr>
                <w:color w:val="000000"/>
              </w:rPr>
              <w:t xml:space="preserve"> синим, 100 тестов 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0D" w:rsidRPr="00DD7E88" w:rsidRDefault="0052600D">
            <w:pPr>
              <w:rPr>
                <w:color w:val="000000"/>
              </w:rPr>
            </w:pPr>
            <w:proofErr w:type="gramStart"/>
            <w:r w:rsidRPr="00DD7E88">
              <w:rPr>
                <w:color w:val="000000"/>
              </w:rPr>
              <w:t>Рекомендован</w:t>
            </w:r>
            <w:proofErr w:type="gramEnd"/>
            <w:r w:rsidRPr="00DD7E88">
              <w:rPr>
                <w:color w:val="000000"/>
              </w:rPr>
              <w:t xml:space="preserve"> для соединительной ткани. Выявляет ядра, нейрофибриллы, нейроглию, коллаген, кератин, </w:t>
            </w:r>
            <w:proofErr w:type="spellStart"/>
            <w:r w:rsidRPr="00DD7E88">
              <w:rPr>
                <w:color w:val="000000"/>
              </w:rPr>
              <w:t>интрацеллюлярные</w:t>
            </w:r>
            <w:proofErr w:type="spellEnd"/>
            <w:r w:rsidRPr="00DD7E88">
              <w:rPr>
                <w:color w:val="000000"/>
              </w:rPr>
              <w:t xml:space="preserve"> волокна,  гаметы, а также негативное отображение комплекса </w:t>
            </w:r>
            <w:proofErr w:type="spellStart"/>
            <w:r w:rsidRPr="00DD7E88">
              <w:rPr>
                <w:color w:val="000000"/>
              </w:rPr>
              <w:t>Гольджи</w:t>
            </w:r>
            <w:proofErr w:type="spellEnd"/>
            <w:r w:rsidRPr="00DD7E88">
              <w:rPr>
                <w:color w:val="000000"/>
              </w:rPr>
              <w:t xml:space="preserve">. Метод основан на использовании четырех различных красителей: железного </w:t>
            </w:r>
            <w:proofErr w:type="spellStart"/>
            <w:r w:rsidRPr="00DD7E88">
              <w:rPr>
                <w:color w:val="000000"/>
              </w:rPr>
              <w:t>гематоксиллина</w:t>
            </w:r>
            <w:proofErr w:type="spellEnd"/>
            <w:r w:rsidRPr="00DD7E88">
              <w:rPr>
                <w:color w:val="000000"/>
              </w:rPr>
              <w:t xml:space="preserve"> </w:t>
            </w:r>
            <w:proofErr w:type="spellStart"/>
            <w:r w:rsidRPr="00DD7E88">
              <w:rPr>
                <w:color w:val="000000"/>
              </w:rPr>
              <w:t>Вейгерта</w:t>
            </w:r>
            <w:proofErr w:type="spellEnd"/>
            <w:r w:rsidRPr="00DD7E88">
              <w:rPr>
                <w:color w:val="000000"/>
              </w:rPr>
              <w:t xml:space="preserve"> для окраски ядер, пикриновой кислоты для эритроцитов, смеси кислых красителей для цитоплазмы и анилинового синего для соединительной ткани. Реактивы: А. Железный гематоксилин </w:t>
            </w:r>
            <w:proofErr w:type="spellStart"/>
            <w:r w:rsidRPr="00DD7E88">
              <w:rPr>
                <w:color w:val="000000"/>
              </w:rPr>
              <w:t>Вейгера</w:t>
            </w:r>
            <w:proofErr w:type="spellEnd"/>
            <w:r w:rsidRPr="00DD7E88">
              <w:rPr>
                <w:color w:val="000000"/>
              </w:rPr>
              <w:t xml:space="preserve">, раствор В, 18 мл, В. Железный </w:t>
            </w:r>
            <w:proofErr w:type="spellStart"/>
            <w:r w:rsidRPr="00DD7E88">
              <w:rPr>
                <w:color w:val="000000"/>
              </w:rPr>
              <w:t>гематоксиллин</w:t>
            </w:r>
            <w:proofErr w:type="spellEnd"/>
            <w:r w:rsidRPr="00DD7E88">
              <w:rPr>
                <w:color w:val="000000"/>
              </w:rPr>
              <w:t xml:space="preserve"> </w:t>
            </w:r>
            <w:proofErr w:type="spellStart"/>
            <w:r w:rsidRPr="00DD7E88">
              <w:rPr>
                <w:color w:val="000000"/>
              </w:rPr>
              <w:t>Вейгера</w:t>
            </w:r>
            <w:proofErr w:type="spellEnd"/>
            <w:r w:rsidRPr="00DD7E88">
              <w:rPr>
                <w:color w:val="000000"/>
              </w:rPr>
              <w:t xml:space="preserve">, раствор А, 18 мл, С. Спиртовой раствор пикриновой кислоты, 30 мл, D. Раствор кислого пунцового фуксина </w:t>
            </w:r>
            <w:proofErr w:type="spellStart"/>
            <w:r w:rsidRPr="00DD7E88">
              <w:rPr>
                <w:color w:val="000000"/>
              </w:rPr>
              <w:t>Массону</w:t>
            </w:r>
            <w:proofErr w:type="spellEnd"/>
            <w:r w:rsidRPr="00DD7E88">
              <w:rPr>
                <w:color w:val="000000"/>
              </w:rPr>
              <w:t xml:space="preserve">, 30 мл. Е. Раствор </w:t>
            </w:r>
            <w:proofErr w:type="spellStart"/>
            <w:r w:rsidRPr="00DD7E88">
              <w:rPr>
                <w:color w:val="000000"/>
              </w:rPr>
              <w:t>фосфомолибденовой</w:t>
            </w:r>
            <w:proofErr w:type="spellEnd"/>
            <w:r w:rsidRPr="00DD7E88">
              <w:rPr>
                <w:color w:val="000000"/>
              </w:rPr>
              <w:t xml:space="preserve"> кислоты, 30 мл. </w:t>
            </w:r>
            <w:proofErr w:type="spellStart"/>
            <w:r w:rsidRPr="00DD7E88">
              <w:rPr>
                <w:color w:val="000000"/>
              </w:rPr>
              <w:t>F.Массон</w:t>
            </w:r>
            <w:proofErr w:type="spellEnd"/>
            <w:r w:rsidRPr="00DD7E88">
              <w:rPr>
                <w:color w:val="000000"/>
              </w:rPr>
              <w:t xml:space="preserve"> </w:t>
            </w:r>
            <w:proofErr w:type="spellStart"/>
            <w:r w:rsidRPr="00DD7E88">
              <w:rPr>
                <w:color w:val="000000"/>
              </w:rPr>
              <w:t>аналиновый</w:t>
            </w:r>
            <w:proofErr w:type="spellEnd"/>
            <w:r w:rsidRPr="00DD7E88">
              <w:rPr>
                <w:color w:val="000000"/>
              </w:rPr>
              <w:t xml:space="preserve"> синий, 30 мл</w:t>
            </w:r>
          </w:p>
        </w:tc>
      </w:tr>
    </w:tbl>
    <w:p w:rsidR="00FB62ED" w:rsidRPr="00DD7E88" w:rsidRDefault="00FB62ED" w:rsidP="00C74B01">
      <w:pPr>
        <w:ind w:firstLine="567"/>
        <w:jc w:val="both"/>
        <w:rPr>
          <w:b/>
          <w:u w:val="single"/>
        </w:rPr>
      </w:pPr>
    </w:p>
    <w:p w:rsidR="00C74B01" w:rsidRPr="00DD7E88" w:rsidRDefault="00C74B01" w:rsidP="00C74B01">
      <w:pPr>
        <w:ind w:firstLine="567"/>
        <w:jc w:val="both"/>
        <w:rPr>
          <w:b/>
          <w:u w:val="single"/>
        </w:rPr>
      </w:pPr>
      <w:r w:rsidRPr="00DD7E88">
        <w:rPr>
          <w:b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803676" w:rsidRPr="00DD7E88" w:rsidRDefault="00803676" w:rsidP="00C74B01">
      <w:pPr>
        <w:ind w:firstLine="567"/>
        <w:jc w:val="both"/>
        <w:rPr>
          <w:b/>
          <w:u w:val="single"/>
        </w:rPr>
      </w:pPr>
    </w:p>
    <w:p w:rsidR="00C74B01" w:rsidRPr="00DD7E88" w:rsidRDefault="00C74B01" w:rsidP="00B35B4F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E88">
        <w:rPr>
          <w:rFonts w:ascii="Times New Roman" w:hAnsi="Times New Roman" w:cs="Times New Roman"/>
          <w:sz w:val="24"/>
          <w:szCs w:val="24"/>
        </w:rPr>
        <w:t xml:space="preserve">1) Потенциальные поставщики обязаны обеспечить доставку медицинских изделий в полном объеме непосредственно до КГП </w:t>
      </w:r>
      <w:r w:rsidR="00AF6CFB" w:rsidRPr="00DD7E88">
        <w:rPr>
          <w:rFonts w:ascii="Times New Roman" w:hAnsi="Times New Roman" w:cs="Times New Roman"/>
          <w:sz w:val="24"/>
          <w:szCs w:val="24"/>
        </w:rPr>
        <w:t xml:space="preserve">«Областная клиническая больница» </w:t>
      </w:r>
      <w:r w:rsidRPr="00DD7E88">
        <w:rPr>
          <w:rFonts w:ascii="Times New Roman" w:hAnsi="Times New Roman" w:cs="Times New Roman"/>
          <w:sz w:val="24"/>
          <w:szCs w:val="24"/>
        </w:rPr>
        <w:t>управления здравоохранения Карагандинской области</w:t>
      </w:r>
      <w:r w:rsidR="00AF6CFB" w:rsidRPr="00DD7E88">
        <w:rPr>
          <w:rFonts w:ascii="Times New Roman" w:hAnsi="Times New Roman" w:cs="Times New Roman"/>
          <w:sz w:val="24"/>
          <w:szCs w:val="24"/>
        </w:rPr>
        <w:t xml:space="preserve"> </w:t>
      </w:r>
      <w:r w:rsidRPr="00DD7E88">
        <w:rPr>
          <w:rFonts w:ascii="Times New Roman" w:hAnsi="Times New Roman" w:cs="Times New Roman"/>
          <w:sz w:val="24"/>
          <w:szCs w:val="24"/>
        </w:rPr>
        <w:t>г.</w:t>
      </w:r>
      <w:r w:rsidR="00AF6CFB" w:rsidRPr="00DD7E88">
        <w:rPr>
          <w:rFonts w:ascii="Times New Roman" w:hAnsi="Times New Roman" w:cs="Times New Roman"/>
          <w:sz w:val="24"/>
          <w:szCs w:val="24"/>
        </w:rPr>
        <w:t xml:space="preserve"> </w:t>
      </w:r>
      <w:r w:rsidRPr="00DD7E88">
        <w:rPr>
          <w:rFonts w:ascii="Times New Roman" w:hAnsi="Times New Roman" w:cs="Times New Roman"/>
          <w:sz w:val="24"/>
          <w:szCs w:val="24"/>
        </w:rPr>
        <w:t>Караганда, ул.</w:t>
      </w:r>
      <w:r w:rsidR="00AF6CFB" w:rsidRPr="00DD7E88">
        <w:rPr>
          <w:rFonts w:ascii="Times New Roman" w:hAnsi="Times New Roman" w:cs="Times New Roman"/>
          <w:sz w:val="24"/>
          <w:szCs w:val="24"/>
        </w:rPr>
        <w:t xml:space="preserve"> пр. Н. Назарбаева 10</w:t>
      </w:r>
      <w:r w:rsidR="00B35B4F" w:rsidRPr="00DD7E88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C74B01" w:rsidRPr="00DD7E88" w:rsidRDefault="00C74B01" w:rsidP="00B35B4F">
      <w:pPr>
        <w:jc w:val="both"/>
      </w:pPr>
      <w:r w:rsidRPr="00DD7E88">
        <w:t>2) Обеспечить страховку товара, соответствующее  его хранение при прохождении таможенной  очистки, уплату таможенных пошлин, налогов, сборов и любые  другие  вспомогательные  услуги,  подлежащие  выполнению  потенциальным  поставщиком на  всем  протяжении  транспортировки медицинских изделий до момента  поставки  конечному  получателю.</w:t>
      </w:r>
    </w:p>
    <w:p w:rsidR="00C74B01" w:rsidRPr="00DD7E88" w:rsidRDefault="00C74B01" w:rsidP="00B35B4F">
      <w:pPr>
        <w:pStyle w:val="a5"/>
        <w:jc w:val="both"/>
        <w:rPr>
          <w:sz w:val="24"/>
          <w:szCs w:val="24"/>
        </w:rPr>
      </w:pPr>
      <w:r w:rsidRPr="00DD7E88">
        <w:rPr>
          <w:sz w:val="24"/>
          <w:szCs w:val="24"/>
        </w:rPr>
        <w:t xml:space="preserve">3) Тендерная заявка должна содержать письмо-гарантию потенциального поставщика о предоставлении </w:t>
      </w:r>
      <w:r w:rsidR="00AF47A8" w:rsidRPr="00DD7E88">
        <w:rPr>
          <w:sz w:val="24"/>
          <w:szCs w:val="24"/>
        </w:rPr>
        <w:t xml:space="preserve"> </w:t>
      </w:r>
      <w:r w:rsidRPr="00DD7E88">
        <w:rPr>
          <w:sz w:val="24"/>
          <w:szCs w:val="24"/>
        </w:rPr>
        <w:t>сертификата,</w:t>
      </w:r>
      <w:r w:rsidR="00AF47A8" w:rsidRPr="00DD7E88">
        <w:rPr>
          <w:sz w:val="24"/>
          <w:szCs w:val="24"/>
        </w:rPr>
        <w:t xml:space="preserve"> </w:t>
      </w:r>
      <w:r w:rsidRPr="00DD7E88">
        <w:rPr>
          <w:sz w:val="24"/>
          <w:szCs w:val="24"/>
        </w:rPr>
        <w:t>заключение о безопасности и качестве установленного образца на медицинские издели</w:t>
      </w:r>
      <w:proofErr w:type="gramStart"/>
      <w:r w:rsidRPr="00DD7E88">
        <w:rPr>
          <w:sz w:val="24"/>
          <w:szCs w:val="24"/>
        </w:rPr>
        <w:t>я(</w:t>
      </w:r>
      <w:proofErr w:type="gramEnd"/>
      <w:r w:rsidRPr="00DD7E88">
        <w:rPr>
          <w:sz w:val="24"/>
          <w:szCs w:val="24"/>
        </w:rPr>
        <w:t>при поставке).</w:t>
      </w:r>
    </w:p>
    <w:p w:rsidR="00C74B01" w:rsidRPr="00DD7E88" w:rsidRDefault="00C74B01" w:rsidP="00B35B4F">
      <w:pPr>
        <w:tabs>
          <w:tab w:val="left" w:pos="1386"/>
        </w:tabs>
        <w:rPr>
          <w:b/>
        </w:rPr>
      </w:pPr>
      <w:r w:rsidRPr="00DD7E88">
        <w:rPr>
          <w:i/>
          <w:iCs/>
        </w:rPr>
        <w:t xml:space="preserve"> (п.1,2,3</w:t>
      </w:r>
      <w:proofErr w:type="gramStart"/>
      <w:r w:rsidRPr="00DD7E88">
        <w:rPr>
          <w:i/>
          <w:iCs/>
        </w:rPr>
        <w:t xml:space="preserve"> П</w:t>
      </w:r>
      <w:proofErr w:type="gramEnd"/>
      <w:r w:rsidRPr="00DD7E88">
        <w:rPr>
          <w:i/>
          <w:iCs/>
        </w:rPr>
        <w:t>одтвердить гарантийным письмом)</w:t>
      </w:r>
    </w:p>
    <w:p w:rsidR="00C74B01" w:rsidRPr="00DD7E88" w:rsidRDefault="00C74B01" w:rsidP="00B35B4F">
      <w:pPr>
        <w:ind w:firstLine="708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DD7E88" w:rsidTr="00C74B01">
        <w:trPr>
          <w:trHeight w:val="288"/>
        </w:trPr>
        <w:tc>
          <w:tcPr>
            <w:tcW w:w="5294" w:type="dxa"/>
            <w:hideMark/>
          </w:tcPr>
          <w:p w:rsidR="00C74B01" w:rsidRPr="00DD7E88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DD7E88">
              <w:rPr>
                <w:rFonts w:eastAsiaTheme="minorHAnsi"/>
                <w:color w:val="000000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DD7E8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3" w:type="dxa"/>
          </w:tcPr>
          <w:p w:rsidR="00C74B01" w:rsidRPr="00DD7E88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1" w:type="dxa"/>
          </w:tcPr>
          <w:p w:rsidR="00C74B01" w:rsidRPr="00DD7E8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9" w:type="dxa"/>
          </w:tcPr>
          <w:p w:rsidR="00C74B01" w:rsidRPr="00DD7E8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7" w:type="dxa"/>
          </w:tcPr>
          <w:p w:rsidR="00C74B01" w:rsidRPr="00DD7E8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</w:tcPr>
          <w:p w:rsidR="00C74B01" w:rsidRPr="00DD7E8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74B01" w:rsidRPr="00DD7E88" w:rsidTr="00C74B01">
        <w:trPr>
          <w:trHeight w:val="346"/>
        </w:trPr>
        <w:tc>
          <w:tcPr>
            <w:tcW w:w="7044" w:type="dxa"/>
            <w:gridSpan w:val="3"/>
            <w:hideMark/>
          </w:tcPr>
          <w:p w:rsidR="00C74B01" w:rsidRPr="00DD7E88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DD7E88">
              <w:t>КГП «Областная клиническая больница» управления здравоохранения Карагандинской области</w:t>
            </w:r>
            <w:r w:rsidRPr="00DD7E88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B35B4F" w:rsidRPr="00DD7E88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  <w:p w:rsidR="00B85511" w:rsidRPr="00DD7E88" w:rsidRDefault="00B8551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  <w:p w:rsidR="00AF6CFB" w:rsidRPr="00DD7E88" w:rsidRDefault="00B35B4F" w:rsidP="00663B5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DD7E88">
              <w:rPr>
                <w:rFonts w:eastAsiaTheme="minorHAnsi"/>
                <w:color w:val="000000"/>
                <w:lang w:eastAsia="en-US"/>
              </w:rPr>
              <w:t xml:space="preserve">Директор                                    </w:t>
            </w:r>
            <w:proofErr w:type="spellStart"/>
            <w:r w:rsidRPr="00DD7E88">
              <w:rPr>
                <w:rFonts w:eastAsiaTheme="minorHAnsi"/>
                <w:color w:val="000000"/>
                <w:lang w:eastAsia="en-US"/>
              </w:rPr>
              <w:t>Нурлыбаев</w:t>
            </w:r>
            <w:proofErr w:type="spellEnd"/>
            <w:r w:rsidRPr="00DD7E88">
              <w:rPr>
                <w:rFonts w:eastAsiaTheme="minorHAnsi"/>
                <w:color w:val="000000"/>
                <w:lang w:eastAsia="en-US"/>
              </w:rPr>
              <w:t xml:space="preserve"> Е. Ш.</w:t>
            </w:r>
          </w:p>
        </w:tc>
        <w:tc>
          <w:tcPr>
            <w:tcW w:w="1421" w:type="dxa"/>
          </w:tcPr>
          <w:p w:rsidR="00C74B01" w:rsidRPr="00DD7E88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9" w:type="dxa"/>
          </w:tcPr>
          <w:p w:rsidR="00C74B01" w:rsidRPr="00DD7E8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7" w:type="dxa"/>
          </w:tcPr>
          <w:p w:rsidR="00C74B01" w:rsidRPr="00DD7E8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</w:tcPr>
          <w:p w:rsidR="00C74B01" w:rsidRPr="00DD7E8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CD289A" w:rsidRPr="00DD7E88" w:rsidRDefault="00CD289A" w:rsidP="00246B03"/>
    <w:sectPr w:rsidR="00CD289A" w:rsidRPr="00DD7E88" w:rsidSect="00FF27EB">
      <w:pgSz w:w="16838" w:h="11906" w:orient="landscape"/>
      <w:pgMar w:top="426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5EA8"/>
    <w:rsid w:val="0001478D"/>
    <w:rsid w:val="00024B38"/>
    <w:rsid w:val="000307DA"/>
    <w:rsid w:val="00032882"/>
    <w:rsid w:val="00033921"/>
    <w:rsid w:val="0003640E"/>
    <w:rsid w:val="00037D79"/>
    <w:rsid w:val="00046C68"/>
    <w:rsid w:val="000609AF"/>
    <w:rsid w:val="00066552"/>
    <w:rsid w:val="000C05E0"/>
    <w:rsid w:val="000C0C3C"/>
    <w:rsid w:val="000C14AA"/>
    <w:rsid w:val="000C5160"/>
    <w:rsid w:val="000D3DA8"/>
    <w:rsid w:val="00102668"/>
    <w:rsid w:val="00113329"/>
    <w:rsid w:val="001203B6"/>
    <w:rsid w:val="00123374"/>
    <w:rsid w:val="00131751"/>
    <w:rsid w:val="0016033A"/>
    <w:rsid w:val="00160A77"/>
    <w:rsid w:val="00161B59"/>
    <w:rsid w:val="00171E24"/>
    <w:rsid w:val="00186736"/>
    <w:rsid w:val="001A1C47"/>
    <w:rsid w:val="001A355B"/>
    <w:rsid w:val="001C259B"/>
    <w:rsid w:val="001C6D46"/>
    <w:rsid w:val="001F1108"/>
    <w:rsid w:val="0020507F"/>
    <w:rsid w:val="00212B9C"/>
    <w:rsid w:val="00227053"/>
    <w:rsid w:val="00246B03"/>
    <w:rsid w:val="002540A4"/>
    <w:rsid w:val="0025497E"/>
    <w:rsid w:val="002706C1"/>
    <w:rsid w:val="00274D8E"/>
    <w:rsid w:val="00290C88"/>
    <w:rsid w:val="002A4CF6"/>
    <w:rsid w:val="002A670E"/>
    <w:rsid w:val="002C150A"/>
    <w:rsid w:val="002D4BD7"/>
    <w:rsid w:val="002F2353"/>
    <w:rsid w:val="0032642C"/>
    <w:rsid w:val="00333736"/>
    <w:rsid w:val="00342A43"/>
    <w:rsid w:val="00353AC5"/>
    <w:rsid w:val="003574CC"/>
    <w:rsid w:val="00365412"/>
    <w:rsid w:val="00391DC0"/>
    <w:rsid w:val="00392D16"/>
    <w:rsid w:val="003A3017"/>
    <w:rsid w:val="003B077B"/>
    <w:rsid w:val="003C38A8"/>
    <w:rsid w:val="003F5F33"/>
    <w:rsid w:val="003F6A1A"/>
    <w:rsid w:val="004044B3"/>
    <w:rsid w:val="00410815"/>
    <w:rsid w:val="00435A6D"/>
    <w:rsid w:val="004374B2"/>
    <w:rsid w:val="0046746B"/>
    <w:rsid w:val="004776FD"/>
    <w:rsid w:val="0048522C"/>
    <w:rsid w:val="004A669F"/>
    <w:rsid w:val="004B035A"/>
    <w:rsid w:val="004C1999"/>
    <w:rsid w:val="004E6703"/>
    <w:rsid w:val="005043C5"/>
    <w:rsid w:val="00520B08"/>
    <w:rsid w:val="005232CB"/>
    <w:rsid w:val="0052600D"/>
    <w:rsid w:val="00542585"/>
    <w:rsid w:val="00547AA1"/>
    <w:rsid w:val="005524E1"/>
    <w:rsid w:val="0057368E"/>
    <w:rsid w:val="005879DA"/>
    <w:rsid w:val="00591178"/>
    <w:rsid w:val="005B2768"/>
    <w:rsid w:val="005B422E"/>
    <w:rsid w:val="005D2D8E"/>
    <w:rsid w:val="005D3F8F"/>
    <w:rsid w:val="005D620A"/>
    <w:rsid w:val="005D6FAA"/>
    <w:rsid w:val="005F3EA1"/>
    <w:rsid w:val="0060010E"/>
    <w:rsid w:val="006030D4"/>
    <w:rsid w:val="00624883"/>
    <w:rsid w:val="00663B5E"/>
    <w:rsid w:val="00665F1E"/>
    <w:rsid w:val="00677A13"/>
    <w:rsid w:val="00682CF8"/>
    <w:rsid w:val="00683C87"/>
    <w:rsid w:val="00690DE8"/>
    <w:rsid w:val="006949DF"/>
    <w:rsid w:val="006964B8"/>
    <w:rsid w:val="006A192B"/>
    <w:rsid w:val="006B7602"/>
    <w:rsid w:val="006C57F1"/>
    <w:rsid w:val="006F4CA4"/>
    <w:rsid w:val="00702C76"/>
    <w:rsid w:val="007261F9"/>
    <w:rsid w:val="00730B30"/>
    <w:rsid w:val="00754E6B"/>
    <w:rsid w:val="00765AC3"/>
    <w:rsid w:val="007A2CFB"/>
    <w:rsid w:val="007A5C93"/>
    <w:rsid w:val="007A77A2"/>
    <w:rsid w:val="007E4B68"/>
    <w:rsid w:val="007F5C19"/>
    <w:rsid w:val="00803676"/>
    <w:rsid w:val="00851569"/>
    <w:rsid w:val="00880C9D"/>
    <w:rsid w:val="00891948"/>
    <w:rsid w:val="008B2638"/>
    <w:rsid w:val="008C0DE6"/>
    <w:rsid w:val="008C363E"/>
    <w:rsid w:val="008C3E68"/>
    <w:rsid w:val="008D2E5C"/>
    <w:rsid w:val="008D59C3"/>
    <w:rsid w:val="008E4587"/>
    <w:rsid w:val="008E6954"/>
    <w:rsid w:val="008F08EA"/>
    <w:rsid w:val="008F310D"/>
    <w:rsid w:val="009020ED"/>
    <w:rsid w:val="00906F2D"/>
    <w:rsid w:val="00926222"/>
    <w:rsid w:val="00927A5F"/>
    <w:rsid w:val="009533DE"/>
    <w:rsid w:val="00955B71"/>
    <w:rsid w:val="00965488"/>
    <w:rsid w:val="009701C3"/>
    <w:rsid w:val="00976F6F"/>
    <w:rsid w:val="00977981"/>
    <w:rsid w:val="00993FFD"/>
    <w:rsid w:val="009A73A1"/>
    <w:rsid w:val="009C08BB"/>
    <w:rsid w:val="009C316C"/>
    <w:rsid w:val="009C6FB7"/>
    <w:rsid w:val="009D1ECF"/>
    <w:rsid w:val="009E583D"/>
    <w:rsid w:val="009E59CC"/>
    <w:rsid w:val="009F1FCE"/>
    <w:rsid w:val="009F3395"/>
    <w:rsid w:val="009F3BF8"/>
    <w:rsid w:val="009F5154"/>
    <w:rsid w:val="00A22217"/>
    <w:rsid w:val="00A42472"/>
    <w:rsid w:val="00A436D8"/>
    <w:rsid w:val="00A53F12"/>
    <w:rsid w:val="00A65877"/>
    <w:rsid w:val="00A667CE"/>
    <w:rsid w:val="00AC341F"/>
    <w:rsid w:val="00AC46AE"/>
    <w:rsid w:val="00AD4800"/>
    <w:rsid w:val="00AE0C60"/>
    <w:rsid w:val="00AF22BA"/>
    <w:rsid w:val="00AF47A8"/>
    <w:rsid w:val="00AF6CFB"/>
    <w:rsid w:val="00B176EC"/>
    <w:rsid w:val="00B260FA"/>
    <w:rsid w:val="00B32DE8"/>
    <w:rsid w:val="00B35B4F"/>
    <w:rsid w:val="00B46D1A"/>
    <w:rsid w:val="00B51BBF"/>
    <w:rsid w:val="00B57CE9"/>
    <w:rsid w:val="00B62801"/>
    <w:rsid w:val="00B85511"/>
    <w:rsid w:val="00B90084"/>
    <w:rsid w:val="00B91CCC"/>
    <w:rsid w:val="00BB2993"/>
    <w:rsid w:val="00BB4EC5"/>
    <w:rsid w:val="00BD478F"/>
    <w:rsid w:val="00BD5A8D"/>
    <w:rsid w:val="00BF653F"/>
    <w:rsid w:val="00C22DCB"/>
    <w:rsid w:val="00C45916"/>
    <w:rsid w:val="00C53B5D"/>
    <w:rsid w:val="00C66005"/>
    <w:rsid w:val="00C74B01"/>
    <w:rsid w:val="00C77B72"/>
    <w:rsid w:val="00C858CB"/>
    <w:rsid w:val="00C97B16"/>
    <w:rsid w:val="00CB155F"/>
    <w:rsid w:val="00CB1F08"/>
    <w:rsid w:val="00CD289A"/>
    <w:rsid w:val="00CF4A0E"/>
    <w:rsid w:val="00D357F3"/>
    <w:rsid w:val="00D35A94"/>
    <w:rsid w:val="00D57BA7"/>
    <w:rsid w:val="00D71E5A"/>
    <w:rsid w:val="00D9190A"/>
    <w:rsid w:val="00D94BAC"/>
    <w:rsid w:val="00D956A6"/>
    <w:rsid w:val="00DB18D5"/>
    <w:rsid w:val="00DD7E88"/>
    <w:rsid w:val="00DF4082"/>
    <w:rsid w:val="00DF4AA9"/>
    <w:rsid w:val="00E01705"/>
    <w:rsid w:val="00E02C2E"/>
    <w:rsid w:val="00E04B58"/>
    <w:rsid w:val="00E2202F"/>
    <w:rsid w:val="00E33FD6"/>
    <w:rsid w:val="00E4058E"/>
    <w:rsid w:val="00E41CA9"/>
    <w:rsid w:val="00E634A3"/>
    <w:rsid w:val="00E65155"/>
    <w:rsid w:val="00E907CB"/>
    <w:rsid w:val="00ED0755"/>
    <w:rsid w:val="00ED212D"/>
    <w:rsid w:val="00ED7B0D"/>
    <w:rsid w:val="00F17C01"/>
    <w:rsid w:val="00F46F01"/>
    <w:rsid w:val="00F550A1"/>
    <w:rsid w:val="00F63EEF"/>
    <w:rsid w:val="00F672AE"/>
    <w:rsid w:val="00F825B3"/>
    <w:rsid w:val="00F83E6D"/>
    <w:rsid w:val="00F903F7"/>
    <w:rsid w:val="00FA2D45"/>
    <w:rsid w:val="00FB62ED"/>
    <w:rsid w:val="00FC73B5"/>
    <w:rsid w:val="00FC76EE"/>
    <w:rsid w:val="00FD1FCB"/>
    <w:rsid w:val="00FD2227"/>
    <w:rsid w:val="00FD58B6"/>
    <w:rsid w:val="00FD7B0B"/>
    <w:rsid w:val="00FF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5477C-90D2-4804-8E31-6B8A139D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208</cp:revision>
  <cp:lastPrinted>2022-02-18T03:12:00Z</cp:lastPrinted>
  <dcterms:created xsi:type="dcterms:W3CDTF">2015-02-12T08:07:00Z</dcterms:created>
  <dcterms:modified xsi:type="dcterms:W3CDTF">2022-02-18T03:12:00Z</dcterms:modified>
</cp:coreProperties>
</file>