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C6" w:rsidRPr="00B15A74" w:rsidRDefault="00614FC6" w:rsidP="003E42C8">
      <w:pPr>
        <w:rPr>
          <w:b/>
          <w:sz w:val="18"/>
          <w:szCs w:val="18"/>
        </w:rPr>
      </w:pPr>
      <w:bookmarkStart w:id="0" w:name="_GoBack"/>
      <w:bookmarkEnd w:id="0"/>
    </w:p>
    <w:p w:rsidR="0076349A" w:rsidRPr="00B15A74" w:rsidRDefault="0076349A" w:rsidP="00614FC6">
      <w:pPr>
        <w:jc w:val="right"/>
        <w:rPr>
          <w:b/>
          <w:sz w:val="18"/>
          <w:szCs w:val="18"/>
        </w:rPr>
      </w:pPr>
    </w:p>
    <w:p w:rsidR="00614FC6" w:rsidRPr="00B15A74" w:rsidRDefault="00614FC6" w:rsidP="00614FC6">
      <w:pPr>
        <w:jc w:val="right"/>
        <w:rPr>
          <w:b/>
          <w:sz w:val="18"/>
          <w:szCs w:val="18"/>
        </w:rPr>
      </w:pPr>
      <w:r w:rsidRPr="00B15A74">
        <w:rPr>
          <w:b/>
          <w:sz w:val="18"/>
          <w:szCs w:val="18"/>
        </w:rPr>
        <w:t>Приложение №2</w:t>
      </w:r>
    </w:p>
    <w:p w:rsidR="00614FC6" w:rsidRPr="00B15A74" w:rsidRDefault="00614FC6" w:rsidP="00614FC6">
      <w:pPr>
        <w:jc w:val="right"/>
        <w:rPr>
          <w:b/>
          <w:sz w:val="18"/>
          <w:szCs w:val="18"/>
        </w:rPr>
      </w:pPr>
      <w:r w:rsidRPr="00B15A74">
        <w:rPr>
          <w:b/>
          <w:sz w:val="18"/>
          <w:szCs w:val="18"/>
        </w:rPr>
        <w:t>К тендерной документации</w:t>
      </w:r>
    </w:p>
    <w:p w:rsidR="00614FC6" w:rsidRPr="00B15A74" w:rsidRDefault="00614FC6" w:rsidP="00614FC6">
      <w:pPr>
        <w:jc w:val="center"/>
        <w:rPr>
          <w:b/>
          <w:sz w:val="18"/>
          <w:szCs w:val="18"/>
        </w:rPr>
      </w:pPr>
    </w:p>
    <w:p w:rsidR="00614FC6" w:rsidRPr="00B15A74" w:rsidRDefault="00614FC6" w:rsidP="00614FC6">
      <w:pPr>
        <w:jc w:val="center"/>
        <w:rPr>
          <w:b/>
          <w:sz w:val="18"/>
          <w:szCs w:val="18"/>
        </w:rPr>
      </w:pPr>
      <w:r w:rsidRPr="00B15A74">
        <w:rPr>
          <w:b/>
          <w:sz w:val="18"/>
          <w:szCs w:val="18"/>
        </w:rPr>
        <w:t>Техническая спецификация закупаемого оборудования</w:t>
      </w:r>
    </w:p>
    <w:p w:rsidR="00614FC6" w:rsidRPr="00B15A74" w:rsidRDefault="0076349A" w:rsidP="00614FC6">
      <w:pPr>
        <w:jc w:val="center"/>
        <w:rPr>
          <w:b/>
          <w:sz w:val="18"/>
          <w:szCs w:val="18"/>
        </w:rPr>
      </w:pPr>
      <w:r w:rsidRPr="00B15A74">
        <w:rPr>
          <w:b/>
          <w:sz w:val="18"/>
          <w:szCs w:val="18"/>
        </w:rPr>
        <w:t>Лот 9</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3041"/>
      </w:tblGrid>
      <w:tr w:rsidR="00614FC6" w:rsidRPr="00B15A74" w:rsidTr="00614FC6">
        <w:tc>
          <w:tcPr>
            <w:tcW w:w="709" w:type="dxa"/>
          </w:tcPr>
          <w:p w:rsidR="00614FC6" w:rsidRPr="00B15A74" w:rsidRDefault="00614FC6" w:rsidP="00614FC6">
            <w:pPr>
              <w:spacing w:before="100" w:beforeAutospacing="1" w:after="100" w:afterAutospacing="1"/>
              <w:jc w:val="center"/>
              <w:rPr>
                <w:sz w:val="18"/>
                <w:szCs w:val="18"/>
              </w:rPr>
            </w:pPr>
            <w:r w:rsidRPr="00B15A74">
              <w:rPr>
                <w:sz w:val="18"/>
                <w:szCs w:val="18"/>
              </w:rPr>
              <w:t>№ лота</w:t>
            </w:r>
          </w:p>
        </w:tc>
        <w:tc>
          <w:tcPr>
            <w:tcW w:w="2268" w:type="dxa"/>
            <w:vAlign w:val="center"/>
          </w:tcPr>
          <w:p w:rsidR="00614FC6" w:rsidRPr="00B15A74" w:rsidRDefault="00614FC6" w:rsidP="00614FC6">
            <w:pPr>
              <w:spacing w:before="100" w:beforeAutospacing="1" w:after="100" w:afterAutospacing="1"/>
              <w:jc w:val="center"/>
              <w:rPr>
                <w:sz w:val="18"/>
                <w:szCs w:val="18"/>
              </w:rPr>
            </w:pPr>
            <w:r w:rsidRPr="00B15A74">
              <w:rPr>
                <w:sz w:val="18"/>
                <w:szCs w:val="18"/>
              </w:rPr>
              <w:t xml:space="preserve">Наименование </w:t>
            </w:r>
          </w:p>
        </w:tc>
        <w:tc>
          <w:tcPr>
            <w:tcW w:w="13041" w:type="dxa"/>
            <w:vAlign w:val="center"/>
          </w:tcPr>
          <w:p w:rsidR="00614FC6" w:rsidRPr="00B15A74" w:rsidRDefault="00614FC6" w:rsidP="00614FC6">
            <w:pPr>
              <w:spacing w:before="100" w:beforeAutospacing="1" w:after="100" w:afterAutospacing="1"/>
              <w:jc w:val="center"/>
              <w:rPr>
                <w:sz w:val="18"/>
                <w:szCs w:val="18"/>
              </w:rPr>
            </w:pPr>
            <w:r w:rsidRPr="00B15A74">
              <w:rPr>
                <w:sz w:val="18"/>
                <w:szCs w:val="18"/>
              </w:rPr>
              <w:t>Техническая спецификация</w:t>
            </w:r>
          </w:p>
        </w:tc>
      </w:tr>
      <w:tr w:rsidR="00614FC6" w:rsidRPr="00B15A74" w:rsidTr="00614FC6">
        <w:tc>
          <w:tcPr>
            <w:tcW w:w="709" w:type="dxa"/>
          </w:tcPr>
          <w:p w:rsidR="00614FC6" w:rsidRPr="00B15A74" w:rsidRDefault="00614FC6" w:rsidP="00614FC6">
            <w:pPr>
              <w:spacing w:before="100" w:beforeAutospacing="1" w:after="100" w:afterAutospacing="1"/>
              <w:jc w:val="center"/>
              <w:rPr>
                <w:sz w:val="18"/>
                <w:szCs w:val="18"/>
              </w:rPr>
            </w:pPr>
            <w:r w:rsidRPr="00B15A74">
              <w:rPr>
                <w:sz w:val="18"/>
                <w:szCs w:val="18"/>
              </w:rPr>
              <w:t>1</w:t>
            </w:r>
          </w:p>
        </w:tc>
        <w:tc>
          <w:tcPr>
            <w:tcW w:w="2268" w:type="dxa"/>
            <w:vAlign w:val="center"/>
          </w:tcPr>
          <w:p w:rsidR="00614FC6" w:rsidRPr="00B15A74" w:rsidRDefault="00614FC6" w:rsidP="00614FC6">
            <w:pPr>
              <w:spacing w:before="100" w:beforeAutospacing="1" w:after="100" w:afterAutospacing="1"/>
              <w:jc w:val="center"/>
              <w:rPr>
                <w:sz w:val="18"/>
                <w:szCs w:val="18"/>
              </w:rPr>
            </w:pPr>
            <w:r w:rsidRPr="00B15A74">
              <w:rPr>
                <w:sz w:val="18"/>
                <w:szCs w:val="18"/>
              </w:rPr>
              <w:t>2</w:t>
            </w:r>
          </w:p>
        </w:tc>
        <w:tc>
          <w:tcPr>
            <w:tcW w:w="13041" w:type="dxa"/>
          </w:tcPr>
          <w:p w:rsidR="00614FC6" w:rsidRPr="00B15A74" w:rsidRDefault="00614FC6" w:rsidP="00614FC6">
            <w:pPr>
              <w:spacing w:before="100" w:beforeAutospacing="1" w:after="100" w:afterAutospacing="1"/>
              <w:jc w:val="center"/>
              <w:rPr>
                <w:sz w:val="18"/>
                <w:szCs w:val="18"/>
              </w:rPr>
            </w:pPr>
            <w:r w:rsidRPr="00B15A74">
              <w:rPr>
                <w:sz w:val="18"/>
                <w:szCs w:val="18"/>
              </w:rPr>
              <w:t>3</w:t>
            </w:r>
          </w:p>
        </w:tc>
      </w:tr>
      <w:tr w:rsidR="00614FC6" w:rsidRPr="00B15A74" w:rsidTr="00614FC6">
        <w:trPr>
          <w:trHeight w:val="3394"/>
        </w:trPr>
        <w:tc>
          <w:tcPr>
            <w:tcW w:w="709" w:type="dxa"/>
          </w:tcPr>
          <w:p w:rsidR="00614FC6" w:rsidRPr="00B15A74" w:rsidRDefault="00614FC6" w:rsidP="00614FC6">
            <w:pPr>
              <w:spacing w:before="100" w:beforeAutospacing="1" w:after="100" w:afterAutospacing="1"/>
              <w:jc w:val="center"/>
              <w:rPr>
                <w:sz w:val="18"/>
                <w:szCs w:val="18"/>
                <w:lang w:val="en-US"/>
              </w:rPr>
            </w:pPr>
            <w:r w:rsidRPr="00B15A74">
              <w:rPr>
                <w:sz w:val="18"/>
                <w:szCs w:val="18"/>
                <w:lang w:val="en-US"/>
              </w:rPr>
              <w:t>1</w:t>
            </w:r>
          </w:p>
        </w:tc>
        <w:tc>
          <w:tcPr>
            <w:tcW w:w="2268" w:type="dxa"/>
          </w:tcPr>
          <w:p w:rsidR="00614FC6" w:rsidRPr="00B15A74" w:rsidRDefault="007D206B" w:rsidP="007D206B">
            <w:pPr>
              <w:jc w:val="center"/>
              <w:rPr>
                <w:color w:val="000000"/>
                <w:sz w:val="18"/>
                <w:szCs w:val="18"/>
                <w:lang w:val="en-US"/>
              </w:rPr>
            </w:pPr>
            <w:r>
              <w:rPr>
                <w:rStyle w:val="a9"/>
                <w:sz w:val="18"/>
                <w:szCs w:val="18"/>
              </w:rPr>
              <w:t>Педиатрическая к</w:t>
            </w:r>
            <w:r w:rsidR="00614FC6" w:rsidRPr="00B15A74">
              <w:rPr>
                <w:rStyle w:val="a9"/>
                <w:sz w:val="18"/>
                <w:szCs w:val="18"/>
              </w:rPr>
              <w:t xml:space="preserve">ровать </w:t>
            </w:r>
          </w:p>
        </w:tc>
        <w:tc>
          <w:tcPr>
            <w:tcW w:w="13041" w:type="dxa"/>
          </w:tcPr>
          <w:p w:rsidR="00614FC6" w:rsidRPr="00B15A74" w:rsidRDefault="00614FC6" w:rsidP="00614FC6">
            <w:pPr>
              <w:jc w:val="both"/>
              <w:rPr>
                <w:sz w:val="18"/>
                <w:szCs w:val="18"/>
              </w:rPr>
            </w:pPr>
            <w:r w:rsidRPr="00B15A74">
              <w:rPr>
                <w:sz w:val="18"/>
                <w:szCs w:val="18"/>
                <w:lang w:val="en-US"/>
              </w:rPr>
              <w:t> </w:t>
            </w:r>
            <w:r w:rsidR="00EF1534">
              <w:rPr>
                <w:sz w:val="18"/>
                <w:szCs w:val="18"/>
              </w:rPr>
              <w:t xml:space="preserve">Кровать педиатрическая, функциональная. </w:t>
            </w:r>
            <w:r w:rsidRPr="00B15A74">
              <w:rPr>
                <w:b/>
                <w:bCs/>
                <w:sz w:val="18"/>
                <w:szCs w:val="18"/>
              </w:rPr>
              <w:t>Каркас </w:t>
            </w:r>
            <w:r w:rsidRPr="00B15A74">
              <w:rPr>
                <w:sz w:val="18"/>
                <w:szCs w:val="18"/>
              </w:rPr>
              <w:t>изготовлен из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w:t>
            </w:r>
          </w:p>
          <w:p w:rsidR="00614FC6" w:rsidRPr="00B15A74" w:rsidRDefault="00614FC6" w:rsidP="00614FC6">
            <w:pPr>
              <w:spacing w:line="293" w:lineRule="atLeast"/>
              <w:ind w:firstLine="709"/>
              <w:jc w:val="both"/>
              <w:rPr>
                <w:sz w:val="18"/>
                <w:szCs w:val="18"/>
              </w:rPr>
            </w:pPr>
            <w:r w:rsidRPr="00B15A74">
              <w:rPr>
                <w:b/>
                <w:bCs/>
                <w:sz w:val="18"/>
                <w:szCs w:val="18"/>
              </w:rPr>
              <w:t>Ложе кровати</w:t>
            </w:r>
            <w:r w:rsidRPr="00B15A74">
              <w:rPr>
                <w:sz w:val="18"/>
                <w:szCs w:val="18"/>
              </w:rPr>
              <w:t> – сварная сетка диаметром 4 мм, размер ячеек 50х50 мм.</w:t>
            </w:r>
          </w:p>
          <w:p w:rsidR="00614FC6" w:rsidRPr="00B15A74" w:rsidRDefault="00614FC6" w:rsidP="00614FC6">
            <w:pPr>
              <w:spacing w:line="293" w:lineRule="atLeast"/>
              <w:ind w:firstLine="709"/>
              <w:jc w:val="both"/>
              <w:rPr>
                <w:sz w:val="18"/>
                <w:szCs w:val="18"/>
              </w:rPr>
            </w:pPr>
            <w:r w:rsidRPr="00B15A74">
              <w:rPr>
                <w:b/>
                <w:bCs/>
                <w:sz w:val="18"/>
                <w:szCs w:val="18"/>
              </w:rPr>
              <w:t>Боковые ограждения</w:t>
            </w:r>
            <w:r w:rsidRPr="00B15A74">
              <w:rPr>
                <w:sz w:val="18"/>
                <w:szCs w:val="18"/>
              </w:rPr>
              <w:t> регулируются по высоте.</w:t>
            </w:r>
          </w:p>
          <w:p w:rsidR="00614FC6" w:rsidRPr="00B15A74" w:rsidRDefault="00614FC6" w:rsidP="00614FC6">
            <w:pPr>
              <w:spacing w:line="293" w:lineRule="atLeast"/>
              <w:ind w:firstLine="709"/>
              <w:jc w:val="both"/>
              <w:rPr>
                <w:sz w:val="18"/>
                <w:szCs w:val="18"/>
              </w:rPr>
            </w:pPr>
            <w:r w:rsidRPr="00B15A74">
              <w:rPr>
                <w:b/>
                <w:bCs/>
                <w:sz w:val="18"/>
                <w:szCs w:val="18"/>
              </w:rPr>
              <w:t>Колеса </w:t>
            </w:r>
            <w:r w:rsidRPr="00B15A74">
              <w:rPr>
                <w:sz w:val="18"/>
                <w:szCs w:val="18"/>
              </w:rPr>
              <w:t xml:space="preserve">кровати поворотные, самоориентирующиеся, </w:t>
            </w:r>
            <w:r w:rsidRPr="00B15A74">
              <w:rPr>
                <w:rFonts w:ascii="Cambria Math" w:hAnsi="Cambria Math" w:cs="Cambria Math"/>
                <w:sz w:val="18"/>
                <w:szCs w:val="18"/>
              </w:rPr>
              <w:t>∅</w:t>
            </w:r>
            <w:r w:rsidRPr="00B15A74">
              <w:rPr>
                <w:sz w:val="18"/>
                <w:szCs w:val="18"/>
              </w:rPr>
              <w:t>100 мм, комплекующиеся надёжной стальной вилкой с прецизионным радиально-упорным подшипником, ободом из полипропилена и шинкой из серого полиуретана, не оставляющего следов на полу, </w:t>
            </w:r>
            <w:r w:rsidRPr="00B15A74">
              <w:rPr>
                <w:b/>
                <w:bCs/>
                <w:sz w:val="18"/>
                <w:szCs w:val="18"/>
              </w:rPr>
              <w:t>два колеса</w:t>
            </w:r>
            <w:r w:rsidRPr="00B15A74">
              <w:rPr>
                <w:sz w:val="18"/>
                <w:szCs w:val="18"/>
              </w:rPr>
              <w:t> – с индивидуальным тормозным устройством.</w:t>
            </w:r>
            <w:r w:rsidRPr="00B15A74">
              <w:rPr>
                <w:b/>
                <w:bCs/>
                <w:sz w:val="18"/>
                <w:szCs w:val="18"/>
              </w:rPr>
              <w:t> </w:t>
            </w:r>
            <w:r w:rsidRPr="00B15A74">
              <w:rPr>
                <w:sz w:val="18"/>
                <w:szCs w:val="18"/>
              </w:rPr>
              <w:t>Возможна комплектация колеса</w:t>
            </w:r>
            <w:r w:rsidRPr="00076C38">
              <w:rPr>
                <w:sz w:val="16"/>
                <w:szCs w:val="18"/>
              </w:rPr>
              <w:t>м</w:t>
            </w:r>
            <w:r w:rsidRPr="00B15A74">
              <w:rPr>
                <w:sz w:val="18"/>
                <w:szCs w:val="18"/>
              </w:rPr>
              <w:t>и большего диаметра.</w:t>
            </w:r>
          </w:p>
          <w:p w:rsidR="00614FC6" w:rsidRPr="00B15A74" w:rsidRDefault="00614FC6" w:rsidP="00614FC6">
            <w:pPr>
              <w:spacing w:line="293" w:lineRule="atLeast"/>
              <w:ind w:firstLine="709"/>
              <w:jc w:val="both"/>
              <w:rPr>
                <w:sz w:val="18"/>
                <w:szCs w:val="18"/>
              </w:rPr>
            </w:pPr>
            <w:r w:rsidRPr="00B15A74">
              <w:rPr>
                <w:sz w:val="18"/>
                <w:szCs w:val="18"/>
              </w:rPr>
              <w:t>В комплект входит матрац с чехлом из клеенки ПВХ.</w:t>
            </w:r>
          </w:p>
          <w:p w:rsidR="00614FC6" w:rsidRPr="00B15A74" w:rsidRDefault="00614FC6" w:rsidP="00614FC6">
            <w:pPr>
              <w:ind w:firstLine="709"/>
              <w:jc w:val="both"/>
              <w:rPr>
                <w:sz w:val="18"/>
                <w:szCs w:val="18"/>
              </w:rPr>
            </w:pPr>
            <w:r w:rsidRPr="00B15A74">
              <w:rPr>
                <w:sz w:val="18"/>
                <w:szCs w:val="18"/>
              </w:rPr>
              <w:t>Технические характеристики</w:t>
            </w:r>
          </w:p>
          <w:p w:rsidR="00614FC6" w:rsidRPr="00B15A74" w:rsidRDefault="00614FC6" w:rsidP="00614FC6">
            <w:pPr>
              <w:ind w:firstLine="709"/>
              <w:jc w:val="both"/>
              <w:rPr>
                <w:sz w:val="18"/>
                <w:szCs w:val="18"/>
              </w:rPr>
            </w:pPr>
            <w:r w:rsidRPr="00B15A74">
              <w:rPr>
                <w:b/>
                <w:bCs/>
                <w:sz w:val="18"/>
                <w:szCs w:val="18"/>
              </w:rPr>
              <w:t>Угол наклона ложа:</w:t>
            </w:r>
            <w:r w:rsidRPr="00B15A74">
              <w:rPr>
                <w:sz w:val="18"/>
                <w:szCs w:val="18"/>
              </w:rPr>
              <w:t> от 0° до 9°.</w:t>
            </w:r>
          </w:p>
          <w:p w:rsidR="00614FC6" w:rsidRPr="00B15A74" w:rsidRDefault="00614FC6" w:rsidP="00614FC6">
            <w:pPr>
              <w:ind w:firstLine="709"/>
              <w:jc w:val="both"/>
              <w:rPr>
                <w:sz w:val="18"/>
                <w:szCs w:val="18"/>
              </w:rPr>
            </w:pPr>
            <w:r w:rsidRPr="00B15A74">
              <w:rPr>
                <w:b/>
                <w:bCs/>
                <w:sz w:val="18"/>
                <w:szCs w:val="18"/>
              </w:rPr>
              <w:t>Номинальная нагрузка</w:t>
            </w:r>
            <w:r w:rsidRPr="00B15A74">
              <w:rPr>
                <w:sz w:val="18"/>
                <w:szCs w:val="18"/>
              </w:rPr>
              <w:t> – не более 30 кг.</w:t>
            </w:r>
          </w:p>
          <w:p w:rsidR="00614FC6" w:rsidRPr="00B15A74" w:rsidRDefault="00614FC6" w:rsidP="00614FC6">
            <w:pPr>
              <w:ind w:firstLine="709"/>
              <w:jc w:val="both"/>
              <w:rPr>
                <w:sz w:val="18"/>
                <w:szCs w:val="18"/>
              </w:rPr>
            </w:pPr>
            <w:r w:rsidRPr="00B15A74">
              <w:rPr>
                <w:b/>
                <w:bCs/>
                <w:sz w:val="18"/>
                <w:szCs w:val="18"/>
              </w:rPr>
              <w:t>Масса </w:t>
            </w:r>
            <w:r w:rsidRPr="00B15A74">
              <w:rPr>
                <w:sz w:val="18"/>
                <w:szCs w:val="18"/>
              </w:rPr>
              <w:t>–</w:t>
            </w:r>
            <w:r w:rsidRPr="00B15A74">
              <w:rPr>
                <w:b/>
                <w:bCs/>
                <w:sz w:val="18"/>
                <w:szCs w:val="18"/>
              </w:rPr>
              <w:t> </w:t>
            </w:r>
            <w:r w:rsidRPr="00B15A74">
              <w:rPr>
                <w:sz w:val="18"/>
                <w:szCs w:val="18"/>
              </w:rPr>
              <w:t>не более 40 кг.</w:t>
            </w:r>
          </w:p>
          <w:p w:rsidR="00614FC6" w:rsidRPr="00B15A74" w:rsidRDefault="00614FC6" w:rsidP="00614FC6">
            <w:pPr>
              <w:ind w:firstLine="709"/>
              <w:jc w:val="both"/>
              <w:rPr>
                <w:bCs/>
                <w:sz w:val="18"/>
                <w:szCs w:val="18"/>
              </w:rPr>
            </w:pPr>
            <w:r w:rsidRPr="00B15A74">
              <w:rPr>
                <w:bCs/>
                <w:sz w:val="18"/>
                <w:szCs w:val="18"/>
              </w:rPr>
              <w:t>Габаритные размеры:</w:t>
            </w:r>
            <w:r w:rsidRPr="00B15A74">
              <w:rPr>
                <w:sz w:val="18"/>
                <w:szCs w:val="18"/>
              </w:rPr>
              <w:t xml:space="preserve"> </w:t>
            </w:r>
            <w:r w:rsidRPr="00B15A74">
              <w:rPr>
                <w:bCs/>
                <w:sz w:val="18"/>
                <w:szCs w:val="18"/>
              </w:rPr>
              <w:t xml:space="preserve">1300х730х1220мм </w:t>
            </w:r>
          </w:p>
          <w:p w:rsidR="003C1B26" w:rsidRPr="00B15A74" w:rsidRDefault="003C1B26" w:rsidP="003C1B26">
            <w:pPr>
              <w:jc w:val="both"/>
              <w:rPr>
                <w:sz w:val="18"/>
                <w:szCs w:val="18"/>
              </w:rPr>
            </w:pPr>
            <w:r w:rsidRPr="00B15A74">
              <w:rPr>
                <w:rStyle w:val="a9"/>
                <w:b w:val="0"/>
                <w:sz w:val="18"/>
                <w:szCs w:val="18"/>
              </w:rPr>
              <w:t>Гарантийный срок 12 месяцев</w:t>
            </w:r>
          </w:p>
        </w:tc>
      </w:tr>
    </w:tbl>
    <w:p w:rsidR="0073490A" w:rsidRDefault="0073490A" w:rsidP="0073490A">
      <w:pPr>
        <w:ind w:right="-31" w:firstLine="708"/>
        <w:jc w:val="both"/>
        <w:rPr>
          <w:rFonts w:eastAsia="Calibri"/>
          <w:bCs/>
          <w:lang w:eastAsia="ko-KR"/>
        </w:rPr>
      </w:pPr>
    </w:p>
    <w:p w:rsidR="0073490A" w:rsidRPr="0073490A" w:rsidRDefault="0073490A" w:rsidP="0073490A">
      <w:pPr>
        <w:ind w:right="-31" w:firstLine="708"/>
        <w:jc w:val="both"/>
        <w:rPr>
          <w:rFonts w:eastAsia="Calibri"/>
          <w:bCs/>
          <w:sz w:val="18"/>
          <w:szCs w:val="18"/>
          <w:lang w:eastAsia="ko-KR"/>
        </w:rPr>
      </w:pPr>
      <w:r w:rsidRPr="0073490A">
        <w:rPr>
          <w:rFonts w:eastAsia="Calibri"/>
          <w:bCs/>
          <w:sz w:val="18"/>
          <w:szCs w:val="18"/>
          <w:lang w:eastAsia="ko-KR"/>
        </w:rPr>
        <w:t xml:space="preserve">Товары должны быть новыми и ранее неиспользованными, при этом поставщик принимает на себя обязательства по предоставлению медицинского изделия, требующее сервисного обслуживания,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Pr="0073490A">
        <w:rPr>
          <w:rFonts w:eastAsia="Calibri"/>
          <w:bCs/>
          <w:sz w:val="18"/>
          <w:szCs w:val="18"/>
          <w:lang w:eastAsia="ko-KR"/>
        </w:rPr>
        <w:t>с даты подписания</w:t>
      </w:r>
      <w:proofErr w:type="gramEnd"/>
      <w:r w:rsidRPr="0073490A">
        <w:rPr>
          <w:rFonts w:eastAsia="Calibri"/>
          <w:bCs/>
          <w:sz w:val="18"/>
          <w:szCs w:val="18"/>
          <w:lang w:eastAsia="ko-KR"/>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с даты выявления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 </w:t>
      </w:r>
    </w:p>
    <w:p w:rsidR="0073490A" w:rsidRPr="0073490A" w:rsidRDefault="0073490A" w:rsidP="0073490A">
      <w:pPr>
        <w:rPr>
          <w:sz w:val="18"/>
          <w:szCs w:val="18"/>
        </w:rPr>
      </w:pPr>
    </w:p>
    <w:p w:rsidR="00614FC6" w:rsidRPr="0073490A" w:rsidRDefault="00614FC6" w:rsidP="003E42C8">
      <w:pPr>
        <w:rPr>
          <w:b/>
          <w:sz w:val="18"/>
          <w:szCs w:val="18"/>
        </w:rPr>
      </w:pPr>
    </w:p>
    <w:p w:rsidR="00614FC6" w:rsidRPr="0073490A" w:rsidRDefault="00614FC6" w:rsidP="003E42C8">
      <w:pPr>
        <w:rPr>
          <w:b/>
          <w:sz w:val="18"/>
          <w:szCs w:val="18"/>
        </w:rPr>
      </w:pPr>
    </w:p>
    <w:p w:rsidR="0073490A" w:rsidRPr="0073490A" w:rsidRDefault="0073490A">
      <w:pPr>
        <w:rPr>
          <w:b/>
          <w:sz w:val="18"/>
          <w:szCs w:val="18"/>
        </w:rPr>
      </w:pPr>
    </w:p>
    <w:sectPr w:rsidR="0073490A" w:rsidRPr="0073490A" w:rsidSect="00660786">
      <w:pgSz w:w="16838" w:h="11906" w:orient="landscape"/>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3D89"/>
    <w:multiLevelType w:val="hybridMultilevel"/>
    <w:tmpl w:val="C5D048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7D214F2"/>
    <w:multiLevelType w:val="hybridMultilevel"/>
    <w:tmpl w:val="7C52B4D6"/>
    <w:lvl w:ilvl="0" w:tplc="F446AEC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57702"/>
    <w:multiLevelType w:val="hybridMultilevel"/>
    <w:tmpl w:val="9C82CDB0"/>
    <w:lvl w:ilvl="0" w:tplc="45649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2A0EC4"/>
    <w:multiLevelType w:val="hybridMultilevel"/>
    <w:tmpl w:val="33E07F8C"/>
    <w:lvl w:ilvl="0" w:tplc="45649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B47711"/>
    <w:multiLevelType w:val="hybridMultilevel"/>
    <w:tmpl w:val="499E8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86798A"/>
    <w:multiLevelType w:val="hybridMultilevel"/>
    <w:tmpl w:val="C666C1C8"/>
    <w:lvl w:ilvl="0" w:tplc="B3762D9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523B84"/>
    <w:multiLevelType w:val="hybridMultilevel"/>
    <w:tmpl w:val="D8F48F6C"/>
    <w:lvl w:ilvl="0" w:tplc="45649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C401AA"/>
    <w:multiLevelType w:val="hybridMultilevel"/>
    <w:tmpl w:val="FCD2C5E8"/>
    <w:lvl w:ilvl="0" w:tplc="B3762D9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9B87880"/>
    <w:multiLevelType w:val="hybridMultilevel"/>
    <w:tmpl w:val="335CCDEA"/>
    <w:lvl w:ilvl="0" w:tplc="45649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347B5B"/>
    <w:multiLevelType w:val="hybridMultilevel"/>
    <w:tmpl w:val="3CA4B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583D42"/>
    <w:multiLevelType w:val="hybridMultilevel"/>
    <w:tmpl w:val="2ADA6676"/>
    <w:lvl w:ilvl="0" w:tplc="B3762D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9823D10"/>
    <w:multiLevelType w:val="hybridMultilevel"/>
    <w:tmpl w:val="7C52B4D6"/>
    <w:lvl w:ilvl="0" w:tplc="F446AEC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0"/>
  </w:num>
  <w:num w:numId="5">
    <w:abstractNumId w:val="9"/>
  </w:num>
  <w:num w:numId="6">
    <w:abstractNumId w:val="4"/>
  </w:num>
  <w:num w:numId="7">
    <w:abstractNumId w:val="6"/>
  </w:num>
  <w:num w:numId="8">
    <w:abstractNumId w:val="8"/>
  </w:num>
  <w:num w:numId="9">
    <w:abstractNumId w:val="2"/>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C7"/>
    <w:rsid w:val="000003B4"/>
    <w:rsid w:val="0006046E"/>
    <w:rsid w:val="00076C38"/>
    <w:rsid w:val="00080891"/>
    <w:rsid w:val="000E09BC"/>
    <w:rsid w:val="0015044D"/>
    <w:rsid w:val="00171DEF"/>
    <w:rsid w:val="00187E1E"/>
    <w:rsid w:val="00192B53"/>
    <w:rsid w:val="001B7164"/>
    <w:rsid w:val="001E0C5F"/>
    <w:rsid w:val="00226E53"/>
    <w:rsid w:val="00294E72"/>
    <w:rsid w:val="002B02DB"/>
    <w:rsid w:val="002B301E"/>
    <w:rsid w:val="002B50FC"/>
    <w:rsid w:val="00327780"/>
    <w:rsid w:val="00343359"/>
    <w:rsid w:val="003678F5"/>
    <w:rsid w:val="003C1B26"/>
    <w:rsid w:val="003E42C8"/>
    <w:rsid w:val="00407E1A"/>
    <w:rsid w:val="0042032A"/>
    <w:rsid w:val="004327B6"/>
    <w:rsid w:val="004332B5"/>
    <w:rsid w:val="00447937"/>
    <w:rsid w:val="00451394"/>
    <w:rsid w:val="0045692E"/>
    <w:rsid w:val="00462922"/>
    <w:rsid w:val="0048340F"/>
    <w:rsid w:val="004A0B4D"/>
    <w:rsid w:val="004A3F26"/>
    <w:rsid w:val="004E2229"/>
    <w:rsid w:val="004F01D8"/>
    <w:rsid w:val="004F7213"/>
    <w:rsid w:val="0051003C"/>
    <w:rsid w:val="005443F8"/>
    <w:rsid w:val="00546D6B"/>
    <w:rsid w:val="00554305"/>
    <w:rsid w:val="00584BE6"/>
    <w:rsid w:val="005E4F10"/>
    <w:rsid w:val="00603FB5"/>
    <w:rsid w:val="00614FC6"/>
    <w:rsid w:val="00660786"/>
    <w:rsid w:val="00665387"/>
    <w:rsid w:val="006764A5"/>
    <w:rsid w:val="006B27B1"/>
    <w:rsid w:val="00733519"/>
    <w:rsid w:val="0073490A"/>
    <w:rsid w:val="0076349A"/>
    <w:rsid w:val="007737A6"/>
    <w:rsid w:val="0078317F"/>
    <w:rsid w:val="007D206B"/>
    <w:rsid w:val="0081513E"/>
    <w:rsid w:val="00824628"/>
    <w:rsid w:val="00827D22"/>
    <w:rsid w:val="00855AC7"/>
    <w:rsid w:val="00871B8F"/>
    <w:rsid w:val="008A233F"/>
    <w:rsid w:val="008C68A3"/>
    <w:rsid w:val="008D2F31"/>
    <w:rsid w:val="008D6C19"/>
    <w:rsid w:val="00906E05"/>
    <w:rsid w:val="0090741B"/>
    <w:rsid w:val="0093793D"/>
    <w:rsid w:val="00941588"/>
    <w:rsid w:val="0095408A"/>
    <w:rsid w:val="009571E4"/>
    <w:rsid w:val="00957587"/>
    <w:rsid w:val="009837CC"/>
    <w:rsid w:val="009C5558"/>
    <w:rsid w:val="00A03C98"/>
    <w:rsid w:val="00A551D8"/>
    <w:rsid w:val="00A90662"/>
    <w:rsid w:val="00AD0126"/>
    <w:rsid w:val="00AD548F"/>
    <w:rsid w:val="00AF4DE9"/>
    <w:rsid w:val="00B03FA6"/>
    <w:rsid w:val="00B15A74"/>
    <w:rsid w:val="00B70059"/>
    <w:rsid w:val="00BE7638"/>
    <w:rsid w:val="00C0757E"/>
    <w:rsid w:val="00C25AE9"/>
    <w:rsid w:val="00C27209"/>
    <w:rsid w:val="00C32D10"/>
    <w:rsid w:val="00C6319B"/>
    <w:rsid w:val="00C82B19"/>
    <w:rsid w:val="00C87250"/>
    <w:rsid w:val="00CC0A64"/>
    <w:rsid w:val="00CC5664"/>
    <w:rsid w:val="00D36A0B"/>
    <w:rsid w:val="00D548F0"/>
    <w:rsid w:val="00D62C5D"/>
    <w:rsid w:val="00D815C9"/>
    <w:rsid w:val="00DF03A3"/>
    <w:rsid w:val="00E55D19"/>
    <w:rsid w:val="00E61B11"/>
    <w:rsid w:val="00E80B88"/>
    <w:rsid w:val="00ED752F"/>
    <w:rsid w:val="00EF1534"/>
    <w:rsid w:val="00EF306F"/>
    <w:rsid w:val="00EF3D69"/>
    <w:rsid w:val="00F271C4"/>
    <w:rsid w:val="00F737E7"/>
    <w:rsid w:val="00F92B08"/>
    <w:rsid w:val="00FC7F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AC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462922"/>
    <w:pPr>
      <w:spacing w:before="100" w:beforeAutospacing="1" w:after="100" w:afterAutospacing="1"/>
      <w:outlineLvl w:val="1"/>
    </w:pPr>
    <w:rPr>
      <w:rFonts w:eastAsia="SimSun"/>
      <w:b/>
      <w:bCs/>
      <w:sz w:val="36"/>
      <w:szCs w:val="36"/>
      <w:lang w:val="cs-CZ" w:eastAsia="zh-CN"/>
    </w:rPr>
  </w:style>
  <w:style w:type="paragraph" w:styleId="3">
    <w:name w:val="heading 3"/>
    <w:basedOn w:val="a"/>
    <w:next w:val="a"/>
    <w:link w:val="30"/>
    <w:uiPriority w:val="9"/>
    <w:semiHidden/>
    <w:unhideWhenUsed/>
    <w:qFormat/>
    <w:rsid w:val="00F92B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D815C9"/>
    <w:rPr>
      <w:sz w:val="20"/>
      <w:szCs w:val="20"/>
    </w:rPr>
  </w:style>
  <w:style w:type="character" w:customStyle="1" w:styleId="a4">
    <w:name w:val="Текст примечания Знак"/>
    <w:basedOn w:val="a0"/>
    <w:link w:val="a3"/>
    <w:semiHidden/>
    <w:rsid w:val="00D815C9"/>
    <w:rPr>
      <w:rFonts w:ascii="Times New Roman" w:eastAsia="Times New Roman" w:hAnsi="Times New Roman" w:cs="Times New Roman"/>
      <w:sz w:val="20"/>
      <w:szCs w:val="20"/>
      <w:lang w:eastAsia="ru-RU"/>
    </w:rPr>
  </w:style>
  <w:style w:type="paragraph" w:styleId="a5">
    <w:name w:val="No Spacing"/>
    <w:link w:val="a6"/>
    <w:qFormat/>
    <w:rsid w:val="00D815C9"/>
    <w:pPr>
      <w:spacing w:after="0" w:line="240" w:lineRule="auto"/>
    </w:pPr>
    <w:rPr>
      <w:rFonts w:ascii="Calibri" w:eastAsia="Times New Roman" w:hAnsi="Calibri" w:cs="Times New Roman"/>
      <w:lang w:eastAsia="ru-RU"/>
    </w:rPr>
  </w:style>
  <w:style w:type="paragraph" w:customStyle="1" w:styleId="Style2">
    <w:name w:val="Style2"/>
    <w:basedOn w:val="a"/>
    <w:uiPriority w:val="99"/>
    <w:rsid w:val="00C0757E"/>
    <w:pPr>
      <w:widowControl w:val="0"/>
      <w:autoSpaceDE w:val="0"/>
      <w:autoSpaceDN w:val="0"/>
      <w:adjustRightInd w:val="0"/>
      <w:spacing w:line="254" w:lineRule="exact"/>
    </w:pPr>
    <w:rPr>
      <w:rFonts w:eastAsiaTheme="minorEastAsia"/>
    </w:rPr>
  </w:style>
  <w:style w:type="character" w:customStyle="1" w:styleId="FontStyle13">
    <w:name w:val="Font Style13"/>
    <w:basedOn w:val="a0"/>
    <w:uiPriority w:val="99"/>
    <w:rsid w:val="00C0757E"/>
    <w:rPr>
      <w:rFonts w:ascii="Times New Roman" w:hAnsi="Times New Roman" w:cs="Times New Roman"/>
      <w:b/>
      <w:bCs/>
      <w:color w:val="000000"/>
      <w:sz w:val="20"/>
      <w:szCs w:val="20"/>
    </w:rPr>
  </w:style>
  <w:style w:type="character" w:customStyle="1" w:styleId="20">
    <w:name w:val="Заголовок 2 Знак"/>
    <w:basedOn w:val="a0"/>
    <w:link w:val="2"/>
    <w:rsid w:val="00462922"/>
    <w:rPr>
      <w:rFonts w:ascii="Times New Roman" w:eastAsia="SimSun" w:hAnsi="Times New Roman" w:cs="Times New Roman"/>
      <w:b/>
      <w:bCs/>
      <w:sz w:val="36"/>
      <w:szCs w:val="36"/>
      <w:lang w:val="cs-CZ" w:eastAsia="zh-CN"/>
    </w:rPr>
  </w:style>
  <w:style w:type="paragraph" w:customStyle="1" w:styleId="product-description">
    <w:name w:val="product-description"/>
    <w:basedOn w:val="a"/>
    <w:rsid w:val="00462922"/>
    <w:pPr>
      <w:spacing w:before="100" w:beforeAutospacing="1" w:after="100" w:afterAutospacing="1"/>
    </w:pPr>
    <w:rPr>
      <w:rFonts w:eastAsia="SimSun"/>
      <w:lang w:val="cs-CZ" w:eastAsia="zh-CN"/>
    </w:rPr>
  </w:style>
  <w:style w:type="paragraph" w:styleId="a7">
    <w:name w:val="Normal (Web)"/>
    <w:basedOn w:val="a"/>
    <w:uiPriority w:val="99"/>
    <w:rsid w:val="00462922"/>
    <w:pPr>
      <w:spacing w:before="100" w:beforeAutospacing="1" w:after="100" w:afterAutospacing="1"/>
    </w:pPr>
    <w:rPr>
      <w:rFonts w:eastAsia="SimSun"/>
      <w:lang w:val="cs-CZ" w:eastAsia="zh-CN"/>
    </w:rPr>
  </w:style>
  <w:style w:type="table" w:styleId="a8">
    <w:name w:val="Table Grid"/>
    <w:basedOn w:val="a1"/>
    <w:uiPriority w:val="59"/>
    <w:rsid w:val="00906E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uiPriority w:val="22"/>
    <w:qFormat/>
    <w:rsid w:val="00957587"/>
    <w:rPr>
      <w:b/>
      <w:bCs/>
    </w:rPr>
  </w:style>
  <w:style w:type="character" w:styleId="aa">
    <w:name w:val="Hyperlink"/>
    <w:basedOn w:val="a0"/>
    <w:uiPriority w:val="99"/>
    <w:semiHidden/>
    <w:unhideWhenUsed/>
    <w:rsid w:val="002B50FC"/>
    <w:rPr>
      <w:color w:val="0000FF"/>
      <w:u w:val="single"/>
    </w:rPr>
  </w:style>
  <w:style w:type="character" w:customStyle="1" w:styleId="30">
    <w:name w:val="Заголовок 3 Знак"/>
    <w:basedOn w:val="a0"/>
    <w:link w:val="3"/>
    <w:uiPriority w:val="9"/>
    <w:semiHidden/>
    <w:rsid w:val="00F92B08"/>
    <w:rPr>
      <w:rFonts w:asciiTheme="majorHAnsi" w:eastAsiaTheme="majorEastAsia" w:hAnsiTheme="majorHAnsi" w:cstheme="majorBidi"/>
      <w:b/>
      <w:bCs/>
      <w:color w:val="4F81BD" w:themeColor="accent1"/>
      <w:sz w:val="24"/>
      <w:szCs w:val="24"/>
      <w:lang w:eastAsia="ru-RU"/>
    </w:rPr>
  </w:style>
  <w:style w:type="character" w:customStyle="1" w:styleId="a6">
    <w:name w:val="Без интервала Знак"/>
    <w:link w:val="a5"/>
    <w:uiPriority w:val="1"/>
    <w:rsid w:val="00F92B08"/>
    <w:rPr>
      <w:rFonts w:ascii="Calibri" w:eastAsia="Times New Roman" w:hAnsi="Calibri" w:cs="Times New Roman"/>
      <w:lang w:eastAsia="ru-RU"/>
    </w:rPr>
  </w:style>
  <w:style w:type="paragraph" w:styleId="ab">
    <w:name w:val="List Paragraph"/>
    <w:basedOn w:val="a"/>
    <w:uiPriority w:val="34"/>
    <w:qFormat/>
    <w:rsid w:val="00F92B08"/>
    <w:pPr>
      <w:ind w:left="720"/>
      <w:contextualSpacing/>
    </w:pPr>
    <w:rPr>
      <w:sz w:val="20"/>
      <w:szCs w:val="20"/>
    </w:rPr>
  </w:style>
  <w:style w:type="character" w:customStyle="1" w:styleId="1">
    <w:name w:val="Название1"/>
    <w:basedOn w:val="a0"/>
    <w:rsid w:val="00F92B08"/>
  </w:style>
  <w:style w:type="character" w:customStyle="1" w:styleId="tm13">
    <w:name w:val="tm13"/>
    <w:basedOn w:val="a0"/>
    <w:rsid w:val="00F92B08"/>
  </w:style>
  <w:style w:type="table" w:customStyle="1" w:styleId="TableGrid">
    <w:name w:val="TableGrid"/>
    <w:rsid w:val="00F92B08"/>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AC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462922"/>
    <w:pPr>
      <w:spacing w:before="100" w:beforeAutospacing="1" w:after="100" w:afterAutospacing="1"/>
      <w:outlineLvl w:val="1"/>
    </w:pPr>
    <w:rPr>
      <w:rFonts w:eastAsia="SimSun"/>
      <w:b/>
      <w:bCs/>
      <w:sz w:val="36"/>
      <w:szCs w:val="36"/>
      <w:lang w:val="cs-CZ" w:eastAsia="zh-CN"/>
    </w:rPr>
  </w:style>
  <w:style w:type="paragraph" w:styleId="3">
    <w:name w:val="heading 3"/>
    <w:basedOn w:val="a"/>
    <w:next w:val="a"/>
    <w:link w:val="30"/>
    <w:uiPriority w:val="9"/>
    <w:semiHidden/>
    <w:unhideWhenUsed/>
    <w:qFormat/>
    <w:rsid w:val="00F92B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D815C9"/>
    <w:rPr>
      <w:sz w:val="20"/>
      <w:szCs w:val="20"/>
    </w:rPr>
  </w:style>
  <w:style w:type="character" w:customStyle="1" w:styleId="a4">
    <w:name w:val="Текст примечания Знак"/>
    <w:basedOn w:val="a0"/>
    <w:link w:val="a3"/>
    <w:semiHidden/>
    <w:rsid w:val="00D815C9"/>
    <w:rPr>
      <w:rFonts w:ascii="Times New Roman" w:eastAsia="Times New Roman" w:hAnsi="Times New Roman" w:cs="Times New Roman"/>
      <w:sz w:val="20"/>
      <w:szCs w:val="20"/>
      <w:lang w:eastAsia="ru-RU"/>
    </w:rPr>
  </w:style>
  <w:style w:type="paragraph" w:styleId="a5">
    <w:name w:val="No Spacing"/>
    <w:link w:val="a6"/>
    <w:qFormat/>
    <w:rsid w:val="00D815C9"/>
    <w:pPr>
      <w:spacing w:after="0" w:line="240" w:lineRule="auto"/>
    </w:pPr>
    <w:rPr>
      <w:rFonts w:ascii="Calibri" w:eastAsia="Times New Roman" w:hAnsi="Calibri" w:cs="Times New Roman"/>
      <w:lang w:eastAsia="ru-RU"/>
    </w:rPr>
  </w:style>
  <w:style w:type="paragraph" w:customStyle="1" w:styleId="Style2">
    <w:name w:val="Style2"/>
    <w:basedOn w:val="a"/>
    <w:uiPriority w:val="99"/>
    <w:rsid w:val="00C0757E"/>
    <w:pPr>
      <w:widowControl w:val="0"/>
      <w:autoSpaceDE w:val="0"/>
      <w:autoSpaceDN w:val="0"/>
      <w:adjustRightInd w:val="0"/>
      <w:spacing w:line="254" w:lineRule="exact"/>
    </w:pPr>
    <w:rPr>
      <w:rFonts w:eastAsiaTheme="minorEastAsia"/>
    </w:rPr>
  </w:style>
  <w:style w:type="character" w:customStyle="1" w:styleId="FontStyle13">
    <w:name w:val="Font Style13"/>
    <w:basedOn w:val="a0"/>
    <w:uiPriority w:val="99"/>
    <w:rsid w:val="00C0757E"/>
    <w:rPr>
      <w:rFonts w:ascii="Times New Roman" w:hAnsi="Times New Roman" w:cs="Times New Roman"/>
      <w:b/>
      <w:bCs/>
      <w:color w:val="000000"/>
      <w:sz w:val="20"/>
      <w:szCs w:val="20"/>
    </w:rPr>
  </w:style>
  <w:style w:type="character" w:customStyle="1" w:styleId="20">
    <w:name w:val="Заголовок 2 Знак"/>
    <w:basedOn w:val="a0"/>
    <w:link w:val="2"/>
    <w:rsid w:val="00462922"/>
    <w:rPr>
      <w:rFonts w:ascii="Times New Roman" w:eastAsia="SimSun" w:hAnsi="Times New Roman" w:cs="Times New Roman"/>
      <w:b/>
      <w:bCs/>
      <w:sz w:val="36"/>
      <w:szCs w:val="36"/>
      <w:lang w:val="cs-CZ" w:eastAsia="zh-CN"/>
    </w:rPr>
  </w:style>
  <w:style w:type="paragraph" w:customStyle="1" w:styleId="product-description">
    <w:name w:val="product-description"/>
    <w:basedOn w:val="a"/>
    <w:rsid w:val="00462922"/>
    <w:pPr>
      <w:spacing w:before="100" w:beforeAutospacing="1" w:after="100" w:afterAutospacing="1"/>
    </w:pPr>
    <w:rPr>
      <w:rFonts w:eastAsia="SimSun"/>
      <w:lang w:val="cs-CZ" w:eastAsia="zh-CN"/>
    </w:rPr>
  </w:style>
  <w:style w:type="paragraph" w:styleId="a7">
    <w:name w:val="Normal (Web)"/>
    <w:basedOn w:val="a"/>
    <w:uiPriority w:val="99"/>
    <w:rsid w:val="00462922"/>
    <w:pPr>
      <w:spacing w:before="100" w:beforeAutospacing="1" w:after="100" w:afterAutospacing="1"/>
    </w:pPr>
    <w:rPr>
      <w:rFonts w:eastAsia="SimSun"/>
      <w:lang w:val="cs-CZ" w:eastAsia="zh-CN"/>
    </w:rPr>
  </w:style>
  <w:style w:type="table" w:styleId="a8">
    <w:name w:val="Table Grid"/>
    <w:basedOn w:val="a1"/>
    <w:uiPriority w:val="59"/>
    <w:rsid w:val="00906E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uiPriority w:val="22"/>
    <w:qFormat/>
    <w:rsid w:val="00957587"/>
    <w:rPr>
      <w:b/>
      <w:bCs/>
    </w:rPr>
  </w:style>
  <w:style w:type="character" w:styleId="aa">
    <w:name w:val="Hyperlink"/>
    <w:basedOn w:val="a0"/>
    <w:uiPriority w:val="99"/>
    <w:semiHidden/>
    <w:unhideWhenUsed/>
    <w:rsid w:val="002B50FC"/>
    <w:rPr>
      <w:color w:val="0000FF"/>
      <w:u w:val="single"/>
    </w:rPr>
  </w:style>
  <w:style w:type="character" w:customStyle="1" w:styleId="30">
    <w:name w:val="Заголовок 3 Знак"/>
    <w:basedOn w:val="a0"/>
    <w:link w:val="3"/>
    <w:uiPriority w:val="9"/>
    <w:semiHidden/>
    <w:rsid w:val="00F92B08"/>
    <w:rPr>
      <w:rFonts w:asciiTheme="majorHAnsi" w:eastAsiaTheme="majorEastAsia" w:hAnsiTheme="majorHAnsi" w:cstheme="majorBidi"/>
      <w:b/>
      <w:bCs/>
      <w:color w:val="4F81BD" w:themeColor="accent1"/>
      <w:sz w:val="24"/>
      <w:szCs w:val="24"/>
      <w:lang w:eastAsia="ru-RU"/>
    </w:rPr>
  </w:style>
  <w:style w:type="character" w:customStyle="1" w:styleId="a6">
    <w:name w:val="Без интервала Знак"/>
    <w:link w:val="a5"/>
    <w:uiPriority w:val="1"/>
    <w:rsid w:val="00F92B08"/>
    <w:rPr>
      <w:rFonts w:ascii="Calibri" w:eastAsia="Times New Roman" w:hAnsi="Calibri" w:cs="Times New Roman"/>
      <w:lang w:eastAsia="ru-RU"/>
    </w:rPr>
  </w:style>
  <w:style w:type="paragraph" w:styleId="ab">
    <w:name w:val="List Paragraph"/>
    <w:basedOn w:val="a"/>
    <w:uiPriority w:val="34"/>
    <w:qFormat/>
    <w:rsid w:val="00F92B08"/>
    <w:pPr>
      <w:ind w:left="720"/>
      <w:contextualSpacing/>
    </w:pPr>
    <w:rPr>
      <w:sz w:val="20"/>
      <w:szCs w:val="20"/>
    </w:rPr>
  </w:style>
  <w:style w:type="character" w:customStyle="1" w:styleId="1">
    <w:name w:val="Название1"/>
    <w:basedOn w:val="a0"/>
    <w:rsid w:val="00F92B08"/>
  </w:style>
  <w:style w:type="character" w:customStyle="1" w:styleId="tm13">
    <w:name w:val="tm13"/>
    <w:basedOn w:val="a0"/>
    <w:rsid w:val="00F92B08"/>
  </w:style>
  <w:style w:type="table" w:customStyle="1" w:styleId="TableGrid">
    <w:name w:val="TableGrid"/>
    <w:rsid w:val="00F92B0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041202">
      <w:bodyDiv w:val="1"/>
      <w:marLeft w:val="0"/>
      <w:marRight w:val="0"/>
      <w:marTop w:val="0"/>
      <w:marBottom w:val="0"/>
      <w:divBdr>
        <w:top w:val="none" w:sz="0" w:space="0" w:color="auto"/>
        <w:left w:val="none" w:sz="0" w:space="0" w:color="auto"/>
        <w:bottom w:val="none" w:sz="0" w:space="0" w:color="auto"/>
        <w:right w:val="none" w:sz="0" w:space="0" w:color="auto"/>
      </w:divBdr>
    </w:div>
    <w:div w:id="1320840592">
      <w:bodyDiv w:val="1"/>
      <w:marLeft w:val="0"/>
      <w:marRight w:val="0"/>
      <w:marTop w:val="0"/>
      <w:marBottom w:val="0"/>
      <w:divBdr>
        <w:top w:val="none" w:sz="0" w:space="0" w:color="auto"/>
        <w:left w:val="none" w:sz="0" w:space="0" w:color="auto"/>
        <w:bottom w:val="none" w:sz="0" w:space="0" w:color="auto"/>
        <w:right w:val="none" w:sz="0" w:space="0" w:color="auto"/>
      </w:divBdr>
    </w:div>
    <w:div w:id="2023973411">
      <w:bodyDiv w:val="1"/>
      <w:marLeft w:val="0"/>
      <w:marRight w:val="0"/>
      <w:marTop w:val="0"/>
      <w:marBottom w:val="0"/>
      <w:divBdr>
        <w:top w:val="none" w:sz="0" w:space="0" w:color="auto"/>
        <w:left w:val="none" w:sz="0" w:space="0" w:color="auto"/>
        <w:bottom w:val="none" w:sz="0" w:space="0" w:color="auto"/>
        <w:right w:val="none" w:sz="0" w:space="0" w:color="auto"/>
      </w:divBdr>
    </w:div>
    <w:div w:id="20528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B26C-7D8C-4484-BB68-AAD3C241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641</Words>
  <Characters>3658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77</cp:revision>
  <cp:lastPrinted>2015-08-24T08:18:00Z</cp:lastPrinted>
  <dcterms:created xsi:type="dcterms:W3CDTF">2020-02-07T06:37:00Z</dcterms:created>
  <dcterms:modified xsi:type="dcterms:W3CDTF">2020-05-10T17:43:00Z</dcterms:modified>
</cp:coreProperties>
</file>