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C5" w:rsidRPr="003574CC" w:rsidRDefault="00BB4EC5" w:rsidP="00005EA8">
      <w:pPr>
        <w:jc w:val="right"/>
      </w:pPr>
    </w:p>
    <w:p w:rsidR="00005EA8" w:rsidRPr="006075D1" w:rsidRDefault="00005EA8" w:rsidP="00005EA8">
      <w:pPr>
        <w:jc w:val="right"/>
      </w:pPr>
      <w:r w:rsidRPr="006075D1">
        <w:t xml:space="preserve">Приложение 2 </w:t>
      </w:r>
    </w:p>
    <w:p w:rsidR="00005EA8" w:rsidRPr="006075D1" w:rsidRDefault="00005EA8" w:rsidP="00005EA8">
      <w:pPr>
        <w:jc w:val="right"/>
      </w:pPr>
      <w:r w:rsidRPr="006075D1">
        <w:t>к тендерной документации</w:t>
      </w:r>
    </w:p>
    <w:p w:rsidR="00005EA8" w:rsidRPr="006075D1" w:rsidRDefault="00005EA8" w:rsidP="00032882">
      <w:pPr>
        <w:jc w:val="center"/>
        <w:rPr>
          <w:b/>
        </w:rPr>
      </w:pPr>
      <w:r w:rsidRPr="006075D1">
        <w:rPr>
          <w:b/>
        </w:rPr>
        <w:t>Техническая спецификация</w:t>
      </w:r>
      <w:r w:rsidR="009F3395" w:rsidRPr="006075D1">
        <w:rPr>
          <w:b/>
          <w:bCs/>
        </w:rPr>
        <w:t xml:space="preserve"> медицинских изделий</w:t>
      </w:r>
    </w:p>
    <w:p w:rsidR="00730B30" w:rsidRPr="006075D1" w:rsidRDefault="00730B30" w:rsidP="00005EA8"/>
    <w:tbl>
      <w:tblPr>
        <w:tblW w:w="1488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4819"/>
        <w:gridCol w:w="9213"/>
      </w:tblGrid>
      <w:tr w:rsidR="00FB62ED" w:rsidRPr="00E57A4F" w:rsidTr="00E57A4F">
        <w:trPr>
          <w:trHeight w:val="6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E57A4F" w:rsidRDefault="001F1108" w:rsidP="00FB6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7A4F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57A4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E57A4F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E57A4F" w:rsidRDefault="00FB62ED" w:rsidP="00FB6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7A4F">
              <w:rPr>
                <w:b/>
                <w:bCs/>
                <w:color w:val="000000"/>
                <w:sz w:val="20"/>
                <w:szCs w:val="20"/>
              </w:rPr>
              <w:t xml:space="preserve">Наименование  медицинских  изделий 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E57A4F" w:rsidRDefault="00FB62ED" w:rsidP="00FF27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7A4F">
              <w:rPr>
                <w:b/>
                <w:bCs/>
                <w:color w:val="000000"/>
                <w:sz w:val="20"/>
                <w:szCs w:val="20"/>
              </w:rPr>
              <w:t>Техническая спецификация медицинских изделий</w:t>
            </w:r>
          </w:p>
        </w:tc>
      </w:tr>
      <w:tr w:rsidR="00E57A4F" w:rsidRPr="00E57A4F" w:rsidTr="00E57A4F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7A4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57A4F">
              <w:rPr>
                <w:b/>
                <w:bCs/>
                <w:color w:val="FF0000"/>
                <w:sz w:val="20"/>
                <w:szCs w:val="20"/>
              </w:rPr>
              <w:t>Реагенты для гематологического анализатора с СОЭ модели МЕК1305 (</w:t>
            </w:r>
            <w:proofErr w:type="spellStart"/>
            <w:r w:rsidRPr="00E57A4F">
              <w:rPr>
                <w:b/>
                <w:bCs/>
                <w:color w:val="FF0000"/>
                <w:sz w:val="20"/>
                <w:szCs w:val="20"/>
              </w:rPr>
              <w:t>Nihon</w:t>
            </w:r>
            <w:proofErr w:type="spellEnd"/>
            <w:r w:rsidRPr="00E57A4F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57A4F">
              <w:rPr>
                <w:b/>
                <w:bCs/>
                <w:color w:val="FF0000"/>
                <w:sz w:val="20"/>
                <w:szCs w:val="20"/>
              </w:rPr>
              <w:t>Kohden</w:t>
            </w:r>
            <w:proofErr w:type="spellEnd"/>
            <w:r w:rsidRPr="00E57A4F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57A4F">
              <w:rPr>
                <w:b/>
                <w:bCs/>
                <w:color w:val="FF0000"/>
                <w:sz w:val="20"/>
                <w:szCs w:val="20"/>
              </w:rPr>
              <w:t>Corporation</w:t>
            </w:r>
            <w:proofErr w:type="spellEnd"/>
            <w:r w:rsidRPr="00E57A4F">
              <w:rPr>
                <w:b/>
                <w:bCs/>
                <w:color w:val="FF0000"/>
                <w:sz w:val="20"/>
                <w:szCs w:val="20"/>
              </w:rPr>
              <w:t>, Япония)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57A4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57A4F" w:rsidRPr="00E57A4F" w:rsidTr="00E57A4F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 xml:space="preserve">Изотонический раствор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Isotonac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4 (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Isotonac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4)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 xml:space="preserve">Изотонический раствор для автоматического гематологического анализатора серии МЕК1305 с определением СОЭ. Раствор (диагностика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vitro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) для разведения клеток крови. Буферный раствор с фиксированными параметрами рН, электропроводности и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осмолярности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>. Активный компонент: Хлорид натрия и сульфат натрия безводный. Фасовка: канистра - 20 л.</w:t>
            </w:r>
          </w:p>
        </w:tc>
      </w:tr>
      <w:tr w:rsidR="00E57A4F" w:rsidRPr="00E57A4F" w:rsidTr="00E57A4F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7A4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 xml:space="preserve">Промывающий реагент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Cleanac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710 (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Cleanac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710)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 xml:space="preserve">Промывающий реагент  для автоматического гематологического анализатора серии МЕК1305 с определением СОЭ. Раствор (диагностика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vitro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) предназначен для промывки жидкостных магистралей, клапанов, шприцов, датчиков, насосов и трубочек прибора. Предотвращает осадки на апертурах и внутренних поверхностях, обеспечивает стабильность аналитических характеристик анализаторов. Активный компонент: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полиоксиэтилентридециловый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эфир. Фасовка: бутыль - 3 л.</w:t>
            </w:r>
          </w:p>
        </w:tc>
      </w:tr>
      <w:tr w:rsidR="00E57A4F" w:rsidRPr="00E57A4F" w:rsidTr="00E57A4F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7A4F">
              <w:rPr>
                <w:color w:val="000000"/>
                <w:sz w:val="20"/>
                <w:szCs w:val="20"/>
              </w:rPr>
              <w:t>Лизирующий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реагент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Hemolynac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310 (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Hemolynac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310)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7A4F">
              <w:rPr>
                <w:color w:val="000000"/>
                <w:sz w:val="20"/>
                <w:szCs w:val="20"/>
              </w:rPr>
              <w:t>Лизирующий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реагент для автоматического гематологического анализатора серии МЕК1305 с определением СОЭ. Раствор (диагностика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vitro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)  для дифференцировки лейкоцитов, эритроцитов и гемоглобина. При добавлении в разведение крови приводит к лизису эритроцитов и в то же время сохраняет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лейкоциты</w:t>
            </w:r>
            <w:proofErr w:type="gramStart"/>
            <w:r w:rsidRPr="00E57A4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E57A4F">
              <w:rPr>
                <w:color w:val="000000"/>
                <w:sz w:val="20"/>
                <w:szCs w:val="20"/>
              </w:rPr>
              <w:t>ктивный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компонент: Четвертичные аммониевые соли. Фасовка: бутыль - 250 мл.</w:t>
            </w:r>
          </w:p>
        </w:tc>
      </w:tr>
      <w:tr w:rsidR="00E57A4F" w:rsidRPr="00E57A4F" w:rsidTr="00E57A4F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7A4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 xml:space="preserve">Очищающий реагент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Cleanac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3 (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Cleanac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3) - Гипохлорит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 xml:space="preserve">Очищающий реагент - Гипохлорит для автоматического гематологического анализатора серии МЕК1305 с определением СОЭ. Раствор (диагностика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vitro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>)   для жесткой отчистки в случае засора и дезинфекции, а также для очистки анализатора адсорбированные на стенках гидравлической системы от белков и других веществ. Применяется для очистки счетных апертур. Активный компонент: Гипохлорит натрия. Фасовка: бутыль - 1 л.</w:t>
            </w:r>
          </w:p>
        </w:tc>
      </w:tr>
      <w:tr w:rsidR="00E57A4F" w:rsidRPr="00E57A4F" w:rsidTr="00E57A4F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>Контрольная кровь гематология MEK-3DL (</w:t>
            </w:r>
            <w:proofErr w:type="gramStart"/>
            <w:r w:rsidRPr="00E57A4F">
              <w:rPr>
                <w:color w:val="000000"/>
                <w:sz w:val="20"/>
                <w:szCs w:val="20"/>
              </w:rPr>
              <w:t>низкий</w:t>
            </w:r>
            <w:proofErr w:type="gramEnd"/>
            <w:r w:rsidRPr="00E57A4F">
              <w:rPr>
                <w:color w:val="000000"/>
                <w:sz w:val="20"/>
                <w:szCs w:val="20"/>
              </w:rPr>
              <w:t xml:space="preserve">), MEK-3DN (нормальный), MEK-3DH (высокий) 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 xml:space="preserve">Контрольная кровь гематология для автоматического гематологического анализатора серии МЕК1305 с определением СОЭ представляет собой суспензию с взвешенными форменными элементами, для контроля качества анализа крови в гематологических анализаторах серии МЕК1305 с определением СОЭ на 3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субпопуляции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>.</w:t>
            </w:r>
          </w:p>
        </w:tc>
      </w:tr>
      <w:tr w:rsidR="00E57A4F" w:rsidRPr="00E57A4F" w:rsidTr="00E57A4F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7A4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>Трубка для насоса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 xml:space="preserve">Трубка для насоса для автоматического гематологического анализатора серии МЕК1305 с определением СОЭ. </w:t>
            </w:r>
            <w:proofErr w:type="gramStart"/>
            <w:r w:rsidRPr="00E57A4F">
              <w:rPr>
                <w:color w:val="000000"/>
                <w:sz w:val="20"/>
                <w:szCs w:val="20"/>
              </w:rPr>
              <w:t xml:space="preserve">Трубочка перистальтического насоса представляет из себя полую трубочку, изготовленную из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тифлона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длиной 12 см с фиксирующим кольцами на концах.</w:t>
            </w:r>
            <w:proofErr w:type="gramEnd"/>
            <w:r w:rsidRPr="00E57A4F">
              <w:rPr>
                <w:color w:val="000000"/>
                <w:sz w:val="20"/>
                <w:szCs w:val="20"/>
              </w:rPr>
              <w:t xml:space="preserve"> Трубочка предназначена для перекачивания растворов из канистр в анализатор, а также утилизации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биоотходов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из анализатора в контейнер слива. </w:t>
            </w:r>
          </w:p>
        </w:tc>
      </w:tr>
      <w:tr w:rsidR="00E57A4F" w:rsidRPr="00E57A4F" w:rsidTr="00E57A4F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>Фильтр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>Фильтр для автоматического гематологического анализатора серии МЕК1305 с определением СОЭ. Фильтр гемоглобина, предназначен для фильтрации от сгустков крови</w:t>
            </w:r>
          </w:p>
        </w:tc>
      </w:tr>
      <w:tr w:rsidR="00E57A4F" w:rsidRPr="00E57A4F" w:rsidTr="00E57A4F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7A4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E57A4F">
              <w:rPr>
                <w:b/>
                <w:bCs/>
                <w:color w:val="FF0000"/>
                <w:sz w:val="20"/>
                <w:szCs w:val="20"/>
              </w:rPr>
              <w:t>Ра</w:t>
            </w:r>
            <w:proofErr w:type="gramStart"/>
            <w:r w:rsidRPr="00E57A4F">
              <w:rPr>
                <w:b/>
                <w:bCs/>
                <w:color w:val="FF0000"/>
                <w:sz w:val="20"/>
                <w:szCs w:val="20"/>
              </w:rPr>
              <w:t>c</w:t>
            </w:r>
            <w:proofErr w:type="gramEnd"/>
            <w:r w:rsidRPr="00E57A4F">
              <w:rPr>
                <w:b/>
                <w:bCs/>
                <w:color w:val="FF0000"/>
                <w:sz w:val="20"/>
                <w:szCs w:val="20"/>
              </w:rPr>
              <w:t>ходный</w:t>
            </w:r>
            <w:proofErr w:type="spellEnd"/>
            <w:r w:rsidRPr="00E57A4F">
              <w:rPr>
                <w:b/>
                <w:bCs/>
                <w:color w:val="FF0000"/>
                <w:sz w:val="20"/>
                <w:szCs w:val="20"/>
              </w:rPr>
              <w:t xml:space="preserve"> материал для  биохимического  анализатора "А-25" </w:t>
            </w:r>
            <w:proofErr w:type="spellStart"/>
            <w:r w:rsidRPr="00E57A4F">
              <w:rPr>
                <w:b/>
                <w:bCs/>
                <w:color w:val="FF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7A4F" w:rsidRPr="00E57A4F" w:rsidTr="00E57A4F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>Системный концентрированный раствор 1 литр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7A4F" w:rsidRPr="00E57A4F" w:rsidTr="00E57A4F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7A4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57A4F">
              <w:rPr>
                <w:b/>
                <w:bCs/>
                <w:color w:val="FF0000"/>
                <w:sz w:val="20"/>
                <w:szCs w:val="20"/>
              </w:rPr>
              <w:t xml:space="preserve">Реагенты и расходные материалы </w:t>
            </w:r>
            <w:proofErr w:type="spellStart"/>
            <w:r w:rsidRPr="00E57A4F">
              <w:rPr>
                <w:b/>
                <w:bCs/>
                <w:color w:val="FF0000"/>
                <w:sz w:val="20"/>
                <w:szCs w:val="20"/>
              </w:rPr>
              <w:t>Cobas</w:t>
            </w:r>
            <w:proofErr w:type="spellEnd"/>
            <w:r w:rsidRPr="00E57A4F">
              <w:rPr>
                <w:b/>
                <w:bCs/>
                <w:color w:val="FF0000"/>
                <w:sz w:val="20"/>
                <w:szCs w:val="20"/>
              </w:rPr>
              <w:t xml:space="preserve"> E 411, </w:t>
            </w:r>
            <w:proofErr w:type="spellStart"/>
            <w:r w:rsidRPr="00E57A4F">
              <w:rPr>
                <w:b/>
                <w:bCs/>
                <w:color w:val="FF0000"/>
                <w:sz w:val="20"/>
                <w:szCs w:val="20"/>
              </w:rPr>
              <w:t>Elecsys</w:t>
            </w:r>
            <w:proofErr w:type="spellEnd"/>
            <w:r w:rsidRPr="00E57A4F">
              <w:rPr>
                <w:b/>
                <w:bCs/>
                <w:color w:val="FF0000"/>
                <w:sz w:val="20"/>
                <w:szCs w:val="20"/>
              </w:rPr>
              <w:t xml:space="preserve"> 2010 фирмы </w:t>
            </w:r>
            <w:proofErr w:type="spellStart"/>
            <w:r w:rsidRPr="00E57A4F">
              <w:rPr>
                <w:b/>
                <w:bCs/>
                <w:color w:val="FF0000"/>
                <w:sz w:val="20"/>
                <w:szCs w:val="20"/>
              </w:rPr>
              <w:t>Roche</w:t>
            </w:r>
            <w:proofErr w:type="spellEnd"/>
            <w:r w:rsidRPr="00E57A4F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57A4F">
              <w:rPr>
                <w:b/>
                <w:bCs/>
                <w:color w:val="FF0000"/>
                <w:sz w:val="20"/>
                <w:szCs w:val="20"/>
              </w:rPr>
              <w:t>Diagnostics</w:t>
            </w:r>
            <w:proofErr w:type="spellEnd"/>
            <w:r w:rsidRPr="00E57A4F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57A4F">
              <w:rPr>
                <w:b/>
                <w:bCs/>
                <w:color w:val="FF0000"/>
                <w:sz w:val="20"/>
                <w:szCs w:val="20"/>
              </w:rPr>
              <w:t>GmbH</w:t>
            </w:r>
            <w:proofErr w:type="spellEnd"/>
            <w:r w:rsidRPr="00E57A4F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57A4F">
              <w:rPr>
                <w:b/>
                <w:bCs/>
                <w:color w:val="FF0000"/>
                <w:sz w:val="20"/>
                <w:szCs w:val="20"/>
              </w:rPr>
              <w:lastRenderedPageBreak/>
              <w:t>(Германия).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E57A4F" w:rsidRPr="00E57A4F" w:rsidTr="00E57A4F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 xml:space="preserve">Контроль Anti-SARS-CoV-2 PC для анализатора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Elecsys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. Контрольные материалы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PreciControl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Anti</w:t>
            </w:r>
            <w:r w:rsidRPr="00E57A4F">
              <w:rPr>
                <w:color w:val="000000"/>
                <w:sz w:val="20"/>
                <w:szCs w:val="20"/>
              </w:rPr>
              <w:noBreakHyphen/>
              <w:t>SARS</w:t>
            </w:r>
            <w:r w:rsidRPr="00E57A4F">
              <w:rPr>
                <w:color w:val="000000"/>
                <w:sz w:val="20"/>
                <w:szCs w:val="20"/>
              </w:rPr>
              <w:noBreakHyphen/>
              <w:t>CoV</w:t>
            </w:r>
            <w:r w:rsidRPr="00E57A4F">
              <w:rPr>
                <w:color w:val="000000"/>
                <w:sz w:val="20"/>
                <w:szCs w:val="20"/>
              </w:rPr>
              <w:noBreakHyphen/>
              <w:t>2 представляют</w:t>
            </w:r>
            <w:r w:rsidRPr="00E57A4F">
              <w:rPr>
                <w:color w:val="000000"/>
                <w:sz w:val="20"/>
                <w:szCs w:val="20"/>
              </w:rPr>
              <w:br/>
              <w:t>собой готовую к применению контрольную сыворотку на основе сыворотки крови человека. Контрольные материалы используются для</w:t>
            </w:r>
            <w:r w:rsidRPr="00E57A4F">
              <w:rPr>
                <w:color w:val="000000"/>
                <w:sz w:val="20"/>
                <w:szCs w:val="20"/>
              </w:rPr>
              <w:br/>
              <w:t xml:space="preserve">мониторинга точности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иммунотеста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Elecsys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Anti</w:t>
            </w:r>
            <w:r w:rsidRPr="00E57A4F">
              <w:rPr>
                <w:color w:val="000000"/>
                <w:sz w:val="20"/>
                <w:szCs w:val="20"/>
              </w:rPr>
              <w:noBreakHyphen/>
              <w:t>SARS</w:t>
            </w:r>
            <w:r w:rsidRPr="00E57A4F">
              <w:rPr>
                <w:color w:val="000000"/>
                <w:sz w:val="20"/>
                <w:szCs w:val="20"/>
              </w:rPr>
              <w:noBreakHyphen/>
              <w:t>CoV</w:t>
            </w:r>
            <w:r w:rsidRPr="00E57A4F">
              <w:rPr>
                <w:color w:val="000000"/>
                <w:sz w:val="20"/>
                <w:szCs w:val="20"/>
              </w:rPr>
              <w:noBreakHyphen/>
              <w:t>2.</w:t>
            </w:r>
            <w:r w:rsidRPr="00E57A4F">
              <w:rPr>
                <w:color w:val="000000"/>
                <w:sz w:val="20"/>
                <w:szCs w:val="20"/>
              </w:rPr>
              <w:br/>
              <w:t>Состав набора:</w:t>
            </w:r>
            <w:r w:rsidRPr="00E57A4F">
              <w:rPr>
                <w:color w:val="000000"/>
                <w:sz w:val="20"/>
                <w:szCs w:val="20"/>
              </w:rPr>
              <w:br/>
            </w:r>
            <w:proofErr w:type="gramStart"/>
            <w:r w:rsidRPr="00E57A4F">
              <w:rPr>
                <w:color w:val="000000"/>
                <w:sz w:val="20"/>
                <w:szCs w:val="20"/>
              </w:rPr>
              <w:t>PC ACOV2 1: 2 флакона, в каждом 1.0 мл контрольного материала на основе сыворотки крови человека, нереактивной по антителам к</w:t>
            </w:r>
            <w:r w:rsidRPr="00E57A4F">
              <w:rPr>
                <w:color w:val="000000"/>
                <w:sz w:val="20"/>
                <w:szCs w:val="20"/>
              </w:rPr>
              <w:br/>
              <w:t>SARS</w:t>
            </w:r>
            <w:r w:rsidRPr="00E57A4F">
              <w:rPr>
                <w:color w:val="000000"/>
                <w:sz w:val="20"/>
                <w:szCs w:val="20"/>
              </w:rPr>
              <w:noBreakHyphen/>
              <w:t>CoV</w:t>
            </w:r>
            <w:r w:rsidRPr="00E57A4F">
              <w:rPr>
                <w:color w:val="000000"/>
                <w:sz w:val="20"/>
                <w:szCs w:val="20"/>
              </w:rPr>
              <w:noBreakHyphen/>
              <w:t xml:space="preserve">2;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HEPESa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>) буфер; консервант.</w:t>
            </w:r>
            <w:proofErr w:type="gramEnd"/>
            <w:r w:rsidRPr="00E57A4F">
              <w:rPr>
                <w:color w:val="000000"/>
                <w:sz w:val="20"/>
                <w:szCs w:val="20"/>
              </w:rPr>
              <w:br/>
              <w:t>PC ACOV2 2: 2 флакона, в каждом 1.0 мл контрольного материала на основе сыворотки крови человека, реактивной по антителам к</w:t>
            </w:r>
            <w:r w:rsidRPr="00E57A4F">
              <w:rPr>
                <w:color w:val="000000"/>
                <w:sz w:val="20"/>
                <w:szCs w:val="20"/>
              </w:rPr>
              <w:br/>
              <w:t>SARS</w:t>
            </w:r>
            <w:r w:rsidRPr="00E57A4F">
              <w:rPr>
                <w:color w:val="000000"/>
                <w:sz w:val="20"/>
                <w:szCs w:val="20"/>
              </w:rPr>
              <w:noBreakHyphen/>
              <w:t>CoV</w:t>
            </w:r>
            <w:r w:rsidRPr="00E57A4F">
              <w:rPr>
                <w:color w:val="000000"/>
                <w:sz w:val="20"/>
                <w:szCs w:val="20"/>
              </w:rPr>
              <w:noBreakHyphen/>
              <w:t>2; HEPES буфер; консервант.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7A4F" w:rsidRPr="00E57A4F" w:rsidTr="00E57A4F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7A4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57A4F">
              <w:rPr>
                <w:b/>
                <w:bCs/>
                <w:color w:val="FF0000"/>
                <w:sz w:val="20"/>
                <w:szCs w:val="20"/>
              </w:rPr>
              <w:t xml:space="preserve">Анализатор биохимический-турбидиметрический ВА 400,200 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7A4F" w:rsidRPr="00E57A4F" w:rsidTr="00E57A4F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>КАЛЬЦИЙ АРСЕНАЗО из комплекта Анализатор биохимических-турбидиметрический ВА400 (10x60 мл) +2 +8 С (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S.A., ИСПАНИЯ</w:t>
            </w:r>
            <w:proofErr w:type="gramStart"/>
            <w:r w:rsidRPr="00E57A4F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 xml:space="preserve">КАЛЬЦИЙ АРСЕНАЗО набор биохимических реагентов из комплекта Анализатор биохимических-турбидиметрический ВА400, производства компании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BioSystems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S.A (Испания), наличие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баркода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на каждом флаконе, Электролитный профиль;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арсеназо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III, конечная точка; жидкий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. Состав: Реагент А.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Арсеназо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III 0.2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ммоль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/л, имидазол 75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ммоль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>/л. Метрологические характеристики: Пороговая чувствительность: 0.42 мг/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дл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= 0.105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ммоль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л</w:t>
            </w:r>
            <w:proofErr w:type="gramStart"/>
            <w:r w:rsidRPr="00E57A4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57A4F">
              <w:rPr>
                <w:color w:val="000000"/>
                <w:sz w:val="20"/>
                <w:szCs w:val="20"/>
              </w:rPr>
              <w:t>ределы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линейности: 18 мг/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дл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= 4.5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ммоль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/л. Точность: </w:t>
            </w:r>
            <w:proofErr w:type="gramStart"/>
            <w:r w:rsidRPr="00E57A4F">
              <w:rPr>
                <w:color w:val="000000"/>
                <w:sz w:val="20"/>
                <w:szCs w:val="20"/>
              </w:rPr>
              <w:t>Сыворотка Средняя концентрация: 10.6 мг/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дл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= 2.65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ммоль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/л. Повторность (CV): 0.7 %.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Внутрилабораторный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показатель (CV): 1.0 %. Средняя концентрация: 14.3 мг/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дл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= 3.57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ммоль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/л. Повторность (CV): 0.7 %.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Внутрилабораторный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показатель (CV): 0.9 %. Моча Средняя концентрация:8.40 мг/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дл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= 2.09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ммоль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/л. Повторность (CV): 3.5 %.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Внутрилабораторный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показатель (CV): 5.8 %. Средняя концентрация: 16.8 мг/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дл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= 4.18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ммоль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/л. Повторность (CV): 2.3 %.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Внутрилабораторный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показатель</w:t>
            </w:r>
            <w:proofErr w:type="gramEnd"/>
            <w:r w:rsidRPr="00E57A4F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E57A4F">
              <w:rPr>
                <w:color w:val="000000"/>
                <w:sz w:val="20"/>
                <w:szCs w:val="20"/>
              </w:rPr>
              <w:t>CV): 4.3 %. Количество исследований-1800.</w:t>
            </w:r>
            <w:proofErr w:type="gramEnd"/>
            <w:r w:rsidRPr="00E57A4F">
              <w:rPr>
                <w:color w:val="000000"/>
                <w:sz w:val="20"/>
                <w:szCs w:val="20"/>
              </w:rPr>
              <w:t xml:space="preserve"> Фасовка 10x 60мл, t+2 +8 С</w:t>
            </w:r>
            <w:proofErr w:type="gramStart"/>
            <w:r w:rsidRPr="00E57A4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E57A4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57A4F" w:rsidRPr="00E57A4F" w:rsidTr="00E57A4F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7A4F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>Ножницы 5 мм, 45см в упаковке 5 штук к аппарату THUNDERBEAT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>Ножницы  5 мм, 45 см</w:t>
            </w:r>
            <w:r w:rsidRPr="00E57A4F">
              <w:rPr>
                <w:color w:val="000000"/>
                <w:sz w:val="20"/>
                <w:szCs w:val="20"/>
              </w:rPr>
              <w:br/>
            </w:r>
            <w:r w:rsidRPr="00E57A4F">
              <w:rPr>
                <w:color w:val="000000"/>
                <w:sz w:val="20"/>
                <w:szCs w:val="20"/>
              </w:rPr>
              <w:br/>
              <w:t>Инструмент 5 мм,45см, c фронтальной подвижной рукояткой, тип S. Инструмент должен одновременно использовать   ВЧ-биполярную электрическую энергию для коагуляции тканей и УЗ-механическую энергию для быстрого рассечения тканей</w:t>
            </w:r>
            <w:proofErr w:type="gramStart"/>
            <w:r w:rsidRPr="00E57A4F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E57A4F">
              <w:rPr>
                <w:color w:val="000000"/>
                <w:sz w:val="20"/>
                <w:szCs w:val="20"/>
              </w:rPr>
              <w:t xml:space="preserve"> </w:t>
            </w:r>
            <w:r w:rsidRPr="00E57A4F">
              <w:rPr>
                <w:color w:val="000000"/>
                <w:sz w:val="20"/>
                <w:szCs w:val="20"/>
              </w:rPr>
              <w:br/>
              <w:t>Коагуляция за счет контролируемого воздействия на ткань биполярного тока с поддержкой функции  автоматического обнаружения завершения процедуры коагуляции  ткани.</w:t>
            </w:r>
            <w:r w:rsidRPr="00E57A4F">
              <w:rPr>
                <w:color w:val="000000"/>
                <w:sz w:val="20"/>
                <w:szCs w:val="20"/>
              </w:rPr>
              <w:br/>
              <w:t>Возможность включения разреза ткани ультразвуком и одновременной биполярной коагуляцией кнопкой управления на инструменте.</w:t>
            </w:r>
            <w:r w:rsidRPr="00E57A4F">
              <w:rPr>
                <w:color w:val="000000"/>
                <w:sz w:val="20"/>
                <w:szCs w:val="20"/>
              </w:rPr>
              <w:br/>
              <w:t>Возможность отдельного включения  функции биполярной коагуляции кнопкой управления на инструменте.</w:t>
            </w:r>
            <w:r w:rsidRPr="00E57A4F">
              <w:rPr>
                <w:color w:val="000000"/>
                <w:sz w:val="20"/>
                <w:szCs w:val="20"/>
              </w:rPr>
              <w:br/>
              <w:t xml:space="preserve">Фронтальная рукоятка, имеющая подвижный рычаг овальной формы спереди от ладонного упора инструмента. Привод тремя пальцами руки.                    2 кнопки активации работы инструмента.                Ротация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бранш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на 360°.</w:t>
            </w:r>
            <w:r w:rsidRPr="00E57A4F">
              <w:rPr>
                <w:color w:val="000000"/>
                <w:sz w:val="20"/>
                <w:szCs w:val="20"/>
              </w:rPr>
              <w:br/>
              <w:t>Рабочая частота ультразвукового воздействия</w:t>
            </w:r>
            <w:r w:rsidRPr="00E57A4F">
              <w:rPr>
                <w:color w:val="000000"/>
                <w:sz w:val="20"/>
                <w:szCs w:val="20"/>
              </w:rPr>
              <w:br/>
            </w:r>
            <w:r w:rsidRPr="00E57A4F">
              <w:rPr>
                <w:color w:val="000000"/>
                <w:sz w:val="20"/>
                <w:szCs w:val="20"/>
              </w:rPr>
              <w:lastRenderedPageBreak/>
              <w:t>для 5 мм инструментов 47 кГц.                            Амплитуда 80 мкм.</w:t>
            </w:r>
            <w:r w:rsidRPr="00E57A4F">
              <w:rPr>
                <w:color w:val="000000"/>
                <w:sz w:val="20"/>
                <w:szCs w:val="20"/>
              </w:rPr>
              <w:br/>
              <w:t>Внешний диаметр стержня  5,5мм.</w:t>
            </w:r>
            <w:r w:rsidRPr="00E57A4F">
              <w:rPr>
                <w:color w:val="000000"/>
                <w:sz w:val="20"/>
                <w:szCs w:val="20"/>
              </w:rPr>
              <w:br/>
              <w:t xml:space="preserve">Эффективная (рабочая) длина 450мм.                  Изогнутая форма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браншей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.                                       Длина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браншей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дистального конца инструмента</w:t>
            </w:r>
            <w:proofErr w:type="gramStart"/>
            <w:r w:rsidRPr="00E57A4F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57A4F">
              <w:rPr>
                <w:color w:val="000000"/>
                <w:sz w:val="20"/>
                <w:szCs w:val="20"/>
              </w:rPr>
              <w:t xml:space="preserve"> 16 мм</w:t>
            </w:r>
            <w:r w:rsidRPr="00E57A4F">
              <w:rPr>
                <w:color w:val="000000"/>
                <w:sz w:val="20"/>
                <w:szCs w:val="20"/>
              </w:rPr>
              <w:br/>
              <w:t xml:space="preserve">Заостренный кончик инструмента для безопасной механической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диссекции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. </w:t>
            </w:r>
            <w:r w:rsidRPr="00E57A4F">
              <w:rPr>
                <w:color w:val="000000"/>
                <w:sz w:val="20"/>
                <w:szCs w:val="20"/>
              </w:rPr>
              <w:br/>
              <w:t xml:space="preserve">Атравматические зубчики для надежного захвата тканей на одной из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браншей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. </w:t>
            </w:r>
            <w:r w:rsidRPr="00E57A4F">
              <w:rPr>
                <w:color w:val="000000"/>
                <w:sz w:val="20"/>
                <w:szCs w:val="20"/>
              </w:rPr>
              <w:br/>
              <w:t>Максимальная выходная мощность биполярной коагуляции 40 Ватт.</w:t>
            </w:r>
            <w:r w:rsidRPr="00E57A4F">
              <w:rPr>
                <w:color w:val="000000"/>
                <w:sz w:val="20"/>
                <w:szCs w:val="20"/>
              </w:rPr>
              <w:br/>
              <w:t>Максимальная выходная мощность при совместной работе ультразвука и биполярной коагуляции 120 Ватт.                                                            Индивидуальная стерильная упаковка.</w:t>
            </w:r>
            <w:r w:rsidRPr="00E57A4F">
              <w:rPr>
                <w:color w:val="000000"/>
                <w:sz w:val="20"/>
                <w:szCs w:val="20"/>
              </w:rPr>
              <w:br/>
              <w:t>Комплектность инструмента:  Инструмент, стабилизатор, ключ. В упаковке 5 шт.</w:t>
            </w:r>
          </w:p>
        </w:tc>
      </w:tr>
      <w:tr w:rsidR="00E57A4F" w:rsidRPr="00E57A4F" w:rsidTr="00E57A4F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 xml:space="preserve">Барий для рентгеноскопии по 240,0 г. Порошок для приготовления суспензии для приема внутрь. Цена товара включает в себя все </w:t>
            </w:r>
            <w:proofErr w:type="gramStart"/>
            <w:r w:rsidRPr="00E57A4F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E57A4F">
              <w:rPr>
                <w:color w:val="000000"/>
                <w:sz w:val="20"/>
                <w:szCs w:val="20"/>
              </w:rPr>
              <w:t xml:space="preserve"> связанные с поставкой.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 xml:space="preserve">Барий для рентгеноскопии по 240,0 г. Порошок для приготовления суспензии для приема внутрь. Цена товара включает в себя все </w:t>
            </w:r>
            <w:proofErr w:type="gramStart"/>
            <w:r w:rsidRPr="00E57A4F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E57A4F">
              <w:rPr>
                <w:color w:val="000000"/>
                <w:sz w:val="20"/>
                <w:szCs w:val="20"/>
              </w:rPr>
              <w:t xml:space="preserve"> связанные с поставкой.</w:t>
            </w:r>
          </w:p>
        </w:tc>
      </w:tr>
      <w:tr w:rsidR="00E57A4F" w:rsidRPr="00E57A4F" w:rsidTr="00E57A4F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 xml:space="preserve">Глубокая венозная линия (ЦВК периферически вводимый для новорожденных </w:t>
            </w:r>
            <w:proofErr w:type="gramStart"/>
            <w:r w:rsidRPr="00E57A4F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E57A4F">
              <w:rPr>
                <w:color w:val="000000"/>
                <w:sz w:val="20"/>
                <w:szCs w:val="20"/>
              </w:rPr>
              <w:t xml:space="preserve">дноразовый G28Набор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переферически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вводимого ЦВК(1Fr/28G).Для долговременного венозного доступа у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недошенных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детей с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ма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лой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массой 9менее 800г)</w:t>
            </w:r>
            <w:proofErr w:type="gramStart"/>
            <w:r w:rsidRPr="00E57A4F">
              <w:rPr>
                <w:color w:val="000000"/>
                <w:sz w:val="20"/>
                <w:szCs w:val="20"/>
              </w:rPr>
              <w:t>,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57A4F">
              <w:rPr>
                <w:color w:val="000000"/>
                <w:sz w:val="20"/>
                <w:szCs w:val="20"/>
              </w:rPr>
              <w:t>редна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значен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для парентерального питания, введения лекарств. Характеристика катетера: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Рентгенконтрастный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>, маркировка каждый сантиметр, дистальный кончик черного цвета, для однозначного определения полного извлечения катетера, крылышки для фиксации, встроенная удлинительная трубка, наличие зажима на удлинительной трубке. Внутренний диаметр удлинительной трубки 0,5мм</w:t>
            </w:r>
            <w:proofErr w:type="gramStart"/>
            <w:r w:rsidRPr="00E57A4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E57A4F">
              <w:rPr>
                <w:color w:val="000000"/>
                <w:sz w:val="20"/>
                <w:szCs w:val="20"/>
              </w:rPr>
              <w:t xml:space="preserve">нешний диаметр удлинительной трубки 1,6мм.Внутренний диаметр катетера 0,17мм.Внешний диаметр катетера 0,35мм.Длинна катетера 20см.Объеем заполнения катетера 0,09мл.Скорость потока через катетер(при давлении 1 бар) 0,7мл/мин. Характеристика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интродьюсера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: Тип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интродьюсера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-расщепляемая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игла</w:t>
            </w:r>
            <w:proofErr w:type="gramStart"/>
            <w:r w:rsidRPr="00E57A4F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E57A4F">
              <w:rPr>
                <w:color w:val="000000"/>
                <w:sz w:val="20"/>
                <w:szCs w:val="20"/>
              </w:rPr>
              <w:t>даляемая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после ввода катетера. Внешний диаметр интеродьюсера-0,7мм/24G.</w:t>
            </w:r>
            <w:proofErr w:type="gramStart"/>
            <w:r w:rsidRPr="00E57A4F">
              <w:rPr>
                <w:color w:val="000000"/>
                <w:sz w:val="20"/>
                <w:szCs w:val="20"/>
              </w:rPr>
              <w:t>Длинна</w:t>
            </w:r>
            <w:proofErr w:type="gramEnd"/>
            <w:r w:rsidRPr="00E57A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интеродьюсера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19мм. Комплект поставки: 1 полиуретановый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рентгенконтрастный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 xml:space="preserve"> катетер, </w:t>
            </w:r>
            <w:proofErr w:type="spellStart"/>
            <w:r w:rsidRPr="00E57A4F">
              <w:rPr>
                <w:color w:val="000000"/>
                <w:sz w:val="20"/>
                <w:szCs w:val="20"/>
              </w:rPr>
              <w:t>интродьюсер</w:t>
            </w:r>
            <w:proofErr w:type="spellEnd"/>
            <w:r w:rsidRPr="00E57A4F">
              <w:rPr>
                <w:color w:val="000000"/>
                <w:sz w:val="20"/>
                <w:szCs w:val="20"/>
              </w:rPr>
              <w:t>-расщепляемая игла 24G, измерительная лента. Упаковка 10 шт.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4F" w:rsidRPr="00E57A4F" w:rsidRDefault="00E57A4F">
            <w:pPr>
              <w:jc w:val="center"/>
              <w:rPr>
                <w:color w:val="000000"/>
                <w:sz w:val="20"/>
                <w:szCs w:val="20"/>
              </w:rPr>
            </w:pPr>
            <w:r w:rsidRPr="00E57A4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B62ED" w:rsidRPr="006075D1" w:rsidRDefault="00FB62ED" w:rsidP="00C74B01">
      <w:pPr>
        <w:ind w:firstLine="567"/>
        <w:jc w:val="both"/>
        <w:rPr>
          <w:b/>
          <w:u w:val="single"/>
        </w:rPr>
      </w:pPr>
    </w:p>
    <w:p w:rsidR="00C74B01" w:rsidRPr="006075D1" w:rsidRDefault="00C74B01" w:rsidP="00C74B01">
      <w:pPr>
        <w:ind w:firstLine="567"/>
        <w:jc w:val="both"/>
        <w:rPr>
          <w:b/>
          <w:u w:val="single"/>
        </w:rPr>
      </w:pPr>
      <w:r w:rsidRPr="006075D1">
        <w:rPr>
          <w:b/>
          <w:u w:val="single"/>
        </w:rPr>
        <w:t xml:space="preserve">Потенциальные поставщики должны гарантировать выполнение следующих сопутствующих услуг: </w:t>
      </w:r>
    </w:p>
    <w:p w:rsidR="00803676" w:rsidRPr="006075D1" w:rsidRDefault="00803676" w:rsidP="00C74B01">
      <w:pPr>
        <w:ind w:firstLine="567"/>
        <w:jc w:val="both"/>
        <w:rPr>
          <w:b/>
          <w:u w:val="single"/>
        </w:rPr>
      </w:pPr>
    </w:p>
    <w:p w:rsidR="00C74B01" w:rsidRPr="006075D1" w:rsidRDefault="00C74B01" w:rsidP="00B35B4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5D1">
        <w:rPr>
          <w:rFonts w:ascii="Times New Roman" w:hAnsi="Times New Roman" w:cs="Times New Roman"/>
          <w:sz w:val="24"/>
          <w:szCs w:val="24"/>
        </w:rPr>
        <w:t xml:space="preserve">1) Потенциальные поставщики обязаны обеспечить доставку медицинских изделий в полном объеме непосредственно до КГП </w:t>
      </w:r>
      <w:r w:rsidR="00AF6CFB" w:rsidRPr="006075D1">
        <w:rPr>
          <w:rFonts w:ascii="Times New Roman" w:hAnsi="Times New Roman" w:cs="Times New Roman"/>
          <w:sz w:val="24"/>
          <w:szCs w:val="24"/>
        </w:rPr>
        <w:t xml:space="preserve">«Областная клиническая больница» </w:t>
      </w:r>
      <w:r w:rsidRPr="006075D1">
        <w:rPr>
          <w:rFonts w:ascii="Times New Roman" w:hAnsi="Times New Roman" w:cs="Times New Roman"/>
          <w:sz w:val="24"/>
          <w:szCs w:val="24"/>
        </w:rPr>
        <w:t>управления здравоохранения Карагандинской области</w:t>
      </w:r>
      <w:r w:rsidR="00AF6CFB" w:rsidRPr="006075D1">
        <w:rPr>
          <w:rFonts w:ascii="Times New Roman" w:hAnsi="Times New Roman" w:cs="Times New Roman"/>
          <w:sz w:val="24"/>
          <w:szCs w:val="24"/>
        </w:rPr>
        <w:t xml:space="preserve"> </w:t>
      </w:r>
      <w:r w:rsidRPr="006075D1">
        <w:rPr>
          <w:rFonts w:ascii="Times New Roman" w:hAnsi="Times New Roman" w:cs="Times New Roman"/>
          <w:sz w:val="24"/>
          <w:szCs w:val="24"/>
        </w:rPr>
        <w:t>г.</w:t>
      </w:r>
      <w:r w:rsidR="00AF6CFB" w:rsidRPr="006075D1">
        <w:rPr>
          <w:rFonts w:ascii="Times New Roman" w:hAnsi="Times New Roman" w:cs="Times New Roman"/>
          <w:sz w:val="24"/>
          <w:szCs w:val="24"/>
        </w:rPr>
        <w:t xml:space="preserve"> </w:t>
      </w:r>
      <w:r w:rsidRPr="006075D1">
        <w:rPr>
          <w:rFonts w:ascii="Times New Roman" w:hAnsi="Times New Roman" w:cs="Times New Roman"/>
          <w:sz w:val="24"/>
          <w:szCs w:val="24"/>
        </w:rPr>
        <w:t>Караганда, ул.</w:t>
      </w:r>
      <w:r w:rsidR="00AF6CFB" w:rsidRPr="006075D1">
        <w:rPr>
          <w:rFonts w:ascii="Times New Roman" w:hAnsi="Times New Roman" w:cs="Times New Roman"/>
          <w:sz w:val="24"/>
          <w:szCs w:val="24"/>
        </w:rPr>
        <w:t xml:space="preserve"> пр. Н. Назарбаева 10</w:t>
      </w:r>
      <w:r w:rsidR="00B35B4F" w:rsidRPr="006075D1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C74B01" w:rsidRPr="006075D1" w:rsidRDefault="00C74B01" w:rsidP="00B35B4F">
      <w:pPr>
        <w:jc w:val="both"/>
      </w:pPr>
      <w:r w:rsidRPr="006075D1">
        <w:lastRenderedPageBreak/>
        <w:t>2) Обеспечить страховку товара, соответствующее  его хранение при прохождении таможенной  очистки, уплату таможенных пошлин, налогов, сборов и любые  другие  вспомогательные  услуги,  подлежащие  выполнению  потенциальным  поставщиком на  всем  протяжении  транспортировки медицинских изделий до момента  поставки  конечному  получателю.</w:t>
      </w:r>
    </w:p>
    <w:p w:rsidR="00C74B01" w:rsidRPr="006075D1" w:rsidRDefault="00C74B01" w:rsidP="00B35B4F">
      <w:pPr>
        <w:pStyle w:val="a5"/>
        <w:jc w:val="both"/>
        <w:rPr>
          <w:sz w:val="24"/>
          <w:szCs w:val="24"/>
        </w:rPr>
      </w:pPr>
      <w:r w:rsidRPr="006075D1">
        <w:rPr>
          <w:sz w:val="24"/>
          <w:szCs w:val="24"/>
        </w:rPr>
        <w:t xml:space="preserve">3) Тендерная заявка должна содержать письмо-гарантию потенциального поставщика о предоставлении </w:t>
      </w:r>
      <w:r w:rsidR="00AF47A8" w:rsidRPr="006075D1">
        <w:rPr>
          <w:sz w:val="24"/>
          <w:szCs w:val="24"/>
        </w:rPr>
        <w:t xml:space="preserve"> </w:t>
      </w:r>
      <w:r w:rsidRPr="006075D1">
        <w:rPr>
          <w:sz w:val="24"/>
          <w:szCs w:val="24"/>
        </w:rPr>
        <w:t>сертификата,</w:t>
      </w:r>
      <w:r w:rsidR="00AF47A8" w:rsidRPr="006075D1">
        <w:rPr>
          <w:sz w:val="24"/>
          <w:szCs w:val="24"/>
        </w:rPr>
        <w:t xml:space="preserve"> </w:t>
      </w:r>
      <w:r w:rsidRPr="006075D1">
        <w:rPr>
          <w:sz w:val="24"/>
          <w:szCs w:val="24"/>
        </w:rPr>
        <w:t>заключение о безопасности и качестве установленного образца на медицинские издели</w:t>
      </w:r>
      <w:proofErr w:type="gramStart"/>
      <w:r w:rsidRPr="006075D1">
        <w:rPr>
          <w:sz w:val="24"/>
          <w:szCs w:val="24"/>
        </w:rPr>
        <w:t>я(</w:t>
      </w:r>
      <w:proofErr w:type="gramEnd"/>
      <w:r w:rsidRPr="006075D1">
        <w:rPr>
          <w:sz w:val="24"/>
          <w:szCs w:val="24"/>
        </w:rPr>
        <w:t>при поставке).</w:t>
      </w:r>
    </w:p>
    <w:p w:rsidR="00C74B01" w:rsidRPr="006075D1" w:rsidRDefault="00C74B01" w:rsidP="00B35B4F">
      <w:pPr>
        <w:tabs>
          <w:tab w:val="left" w:pos="1386"/>
        </w:tabs>
        <w:rPr>
          <w:b/>
        </w:rPr>
      </w:pPr>
      <w:r w:rsidRPr="006075D1">
        <w:rPr>
          <w:i/>
          <w:iCs/>
        </w:rPr>
        <w:t xml:space="preserve"> (п.1,2,3</w:t>
      </w:r>
      <w:proofErr w:type="gramStart"/>
      <w:r w:rsidRPr="006075D1">
        <w:rPr>
          <w:i/>
          <w:iCs/>
        </w:rPr>
        <w:t xml:space="preserve"> П</w:t>
      </w:r>
      <w:proofErr w:type="gramEnd"/>
      <w:r w:rsidRPr="006075D1">
        <w:rPr>
          <w:i/>
          <w:iCs/>
        </w:rPr>
        <w:t>одтвердить гарантийным письмом)</w:t>
      </w:r>
    </w:p>
    <w:p w:rsidR="00C74B01" w:rsidRPr="006075D1" w:rsidRDefault="00C74B01" w:rsidP="00B35B4F">
      <w:pPr>
        <w:ind w:firstLine="708"/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4"/>
        <w:gridCol w:w="797"/>
        <w:gridCol w:w="953"/>
        <w:gridCol w:w="1421"/>
        <w:gridCol w:w="1749"/>
        <w:gridCol w:w="2007"/>
        <w:gridCol w:w="1560"/>
      </w:tblGrid>
      <w:tr w:rsidR="00C74B01" w:rsidRPr="006075D1" w:rsidTr="00DE2634">
        <w:trPr>
          <w:trHeight w:val="288"/>
        </w:trPr>
        <w:tc>
          <w:tcPr>
            <w:tcW w:w="5294" w:type="dxa"/>
            <w:hideMark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6075D1">
              <w:rPr>
                <w:rFonts w:eastAsiaTheme="minorHAnsi"/>
                <w:color w:val="000000"/>
                <w:lang w:eastAsia="en-US"/>
              </w:rPr>
              <w:t>Организатор тендера</w:t>
            </w:r>
          </w:p>
        </w:tc>
        <w:tc>
          <w:tcPr>
            <w:tcW w:w="797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9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7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74B01" w:rsidRPr="006075D1" w:rsidTr="00DE2634">
        <w:trPr>
          <w:trHeight w:val="346"/>
        </w:trPr>
        <w:tc>
          <w:tcPr>
            <w:tcW w:w="7044" w:type="dxa"/>
            <w:gridSpan w:val="3"/>
            <w:hideMark/>
          </w:tcPr>
          <w:p w:rsidR="00C74B01" w:rsidRPr="006075D1" w:rsidRDefault="00AF6CFB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6075D1">
              <w:t>КГП «Областная клиническая больница» управления здравоохранения Карагандинской области</w:t>
            </w:r>
            <w:r w:rsidRPr="006075D1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B35B4F" w:rsidRPr="006075D1" w:rsidRDefault="00B35B4F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B85511" w:rsidRPr="006075D1" w:rsidRDefault="00B8551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AF6CFB" w:rsidRPr="006075D1" w:rsidRDefault="00B35B4F" w:rsidP="00663B5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6075D1">
              <w:rPr>
                <w:rFonts w:eastAsiaTheme="minorHAnsi"/>
                <w:color w:val="000000"/>
                <w:lang w:eastAsia="en-US"/>
              </w:rPr>
              <w:t>Директор                                    Нурлыбаев Е. Ш.</w:t>
            </w:r>
          </w:p>
        </w:tc>
        <w:tc>
          <w:tcPr>
            <w:tcW w:w="1421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9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7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CD289A" w:rsidRPr="006075D1" w:rsidRDefault="00CD289A" w:rsidP="00246B03">
      <w:bookmarkStart w:id="0" w:name="_GoBack"/>
      <w:bookmarkEnd w:id="0"/>
    </w:p>
    <w:sectPr w:rsidR="00CD289A" w:rsidRPr="006075D1" w:rsidSect="00FF27EB">
      <w:pgSz w:w="16838" w:h="11906" w:orient="landscape"/>
      <w:pgMar w:top="426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A52"/>
    <w:multiLevelType w:val="hybridMultilevel"/>
    <w:tmpl w:val="75B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81BF7"/>
    <w:multiLevelType w:val="hybridMultilevel"/>
    <w:tmpl w:val="15E2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74A24"/>
    <w:multiLevelType w:val="hybridMultilevel"/>
    <w:tmpl w:val="727A1AFA"/>
    <w:lvl w:ilvl="0" w:tplc="6754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B33B1"/>
    <w:multiLevelType w:val="hybridMultilevel"/>
    <w:tmpl w:val="941A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A1CE5"/>
    <w:multiLevelType w:val="hybridMultilevel"/>
    <w:tmpl w:val="AAD0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EA8"/>
    <w:rsid w:val="00002D5F"/>
    <w:rsid w:val="00005EA8"/>
    <w:rsid w:val="0001478D"/>
    <w:rsid w:val="00024B38"/>
    <w:rsid w:val="000307DA"/>
    <w:rsid w:val="00032882"/>
    <w:rsid w:val="00033921"/>
    <w:rsid w:val="0003640E"/>
    <w:rsid w:val="00037D79"/>
    <w:rsid w:val="00046C68"/>
    <w:rsid w:val="000609AF"/>
    <w:rsid w:val="00066552"/>
    <w:rsid w:val="000C05E0"/>
    <w:rsid w:val="000C0C3C"/>
    <w:rsid w:val="000C14AA"/>
    <w:rsid w:val="000C5160"/>
    <w:rsid w:val="000D3DA8"/>
    <w:rsid w:val="00102668"/>
    <w:rsid w:val="00113329"/>
    <w:rsid w:val="001203B6"/>
    <w:rsid w:val="00123374"/>
    <w:rsid w:val="00131751"/>
    <w:rsid w:val="0016033A"/>
    <w:rsid w:val="00160A77"/>
    <w:rsid w:val="00161B59"/>
    <w:rsid w:val="00171E24"/>
    <w:rsid w:val="00186736"/>
    <w:rsid w:val="001A1C47"/>
    <w:rsid w:val="001A355B"/>
    <w:rsid w:val="001C259B"/>
    <w:rsid w:val="001C6D46"/>
    <w:rsid w:val="001F1108"/>
    <w:rsid w:val="0020507F"/>
    <w:rsid w:val="00212B9C"/>
    <w:rsid w:val="00227053"/>
    <w:rsid w:val="002314C0"/>
    <w:rsid w:val="00246B03"/>
    <w:rsid w:val="002540A4"/>
    <w:rsid w:val="0025497E"/>
    <w:rsid w:val="002706C1"/>
    <w:rsid w:val="00274D8E"/>
    <w:rsid w:val="002A4CF6"/>
    <w:rsid w:val="002A670E"/>
    <w:rsid w:val="002C150A"/>
    <w:rsid w:val="002D4BD7"/>
    <w:rsid w:val="002F2353"/>
    <w:rsid w:val="0032642C"/>
    <w:rsid w:val="00333736"/>
    <w:rsid w:val="00342A43"/>
    <w:rsid w:val="00353AC5"/>
    <w:rsid w:val="003574CC"/>
    <w:rsid w:val="00365412"/>
    <w:rsid w:val="00391DC0"/>
    <w:rsid w:val="00392D16"/>
    <w:rsid w:val="003A3017"/>
    <w:rsid w:val="003B077B"/>
    <w:rsid w:val="003C38A8"/>
    <w:rsid w:val="003F5F33"/>
    <w:rsid w:val="003F6A1A"/>
    <w:rsid w:val="004044B3"/>
    <w:rsid w:val="00410815"/>
    <w:rsid w:val="00435A6D"/>
    <w:rsid w:val="004374B2"/>
    <w:rsid w:val="0046746B"/>
    <w:rsid w:val="004776FD"/>
    <w:rsid w:val="0048522C"/>
    <w:rsid w:val="004A669F"/>
    <w:rsid w:val="004B035A"/>
    <w:rsid w:val="004C1999"/>
    <w:rsid w:val="004E6703"/>
    <w:rsid w:val="005043C5"/>
    <w:rsid w:val="00520B08"/>
    <w:rsid w:val="005232CB"/>
    <w:rsid w:val="00542585"/>
    <w:rsid w:val="00547AA1"/>
    <w:rsid w:val="005524E1"/>
    <w:rsid w:val="0057368E"/>
    <w:rsid w:val="005879DA"/>
    <w:rsid w:val="00591178"/>
    <w:rsid w:val="005B2768"/>
    <w:rsid w:val="005B422E"/>
    <w:rsid w:val="005D2D8E"/>
    <w:rsid w:val="005D3F8F"/>
    <w:rsid w:val="005D620A"/>
    <w:rsid w:val="005D6FAA"/>
    <w:rsid w:val="005F3EA1"/>
    <w:rsid w:val="0060010E"/>
    <w:rsid w:val="006030D4"/>
    <w:rsid w:val="006075D1"/>
    <w:rsid w:val="00624883"/>
    <w:rsid w:val="00663B5E"/>
    <w:rsid w:val="00665F1E"/>
    <w:rsid w:val="00677A13"/>
    <w:rsid w:val="00682CF8"/>
    <w:rsid w:val="00683C87"/>
    <w:rsid w:val="00690DE8"/>
    <w:rsid w:val="006949DF"/>
    <w:rsid w:val="006964B8"/>
    <w:rsid w:val="006A192B"/>
    <w:rsid w:val="006B7602"/>
    <w:rsid w:val="006C57F1"/>
    <w:rsid w:val="006F4CA4"/>
    <w:rsid w:val="00702C76"/>
    <w:rsid w:val="007261F9"/>
    <w:rsid w:val="00730B30"/>
    <w:rsid w:val="00754E6B"/>
    <w:rsid w:val="00765AC3"/>
    <w:rsid w:val="007A2CFB"/>
    <w:rsid w:val="007A5C93"/>
    <w:rsid w:val="007A77A2"/>
    <w:rsid w:val="007E4B68"/>
    <w:rsid w:val="007F5C19"/>
    <w:rsid w:val="00803676"/>
    <w:rsid w:val="00851569"/>
    <w:rsid w:val="00880C9D"/>
    <w:rsid w:val="00891948"/>
    <w:rsid w:val="008B2638"/>
    <w:rsid w:val="008C0DE6"/>
    <w:rsid w:val="008C363E"/>
    <w:rsid w:val="008C3E68"/>
    <w:rsid w:val="008D2E5C"/>
    <w:rsid w:val="008D59C3"/>
    <w:rsid w:val="008E4587"/>
    <w:rsid w:val="008E6954"/>
    <w:rsid w:val="008F08EA"/>
    <w:rsid w:val="008F310D"/>
    <w:rsid w:val="009020ED"/>
    <w:rsid w:val="00906F2D"/>
    <w:rsid w:val="00926222"/>
    <w:rsid w:val="00927A5F"/>
    <w:rsid w:val="009533DE"/>
    <w:rsid w:val="00955B71"/>
    <w:rsid w:val="00965488"/>
    <w:rsid w:val="009701C3"/>
    <w:rsid w:val="00976F6F"/>
    <w:rsid w:val="00977981"/>
    <w:rsid w:val="00993FFD"/>
    <w:rsid w:val="009A73A1"/>
    <w:rsid w:val="009C08BB"/>
    <w:rsid w:val="009C316C"/>
    <w:rsid w:val="009C6FB7"/>
    <w:rsid w:val="009D1ECF"/>
    <w:rsid w:val="009E583D"/>
    <w:rsid w:val="009E59CC"/>
    <w:rsid w:val="009F1FCE"/>
    <w:rsid w:val="009F3395"/>
    <w:rsid w:val="009F3BF8"/>
    <w:rsid w:val="009F5154"/>
    <w:rsid w:val="00A22217"/>
    <w:rsid w:val="00A42472"/>
    <w:rsid w:val="00A436D8"/>
    <w:rsid w:val="00A53F12"/>
    <w:rsid w:val="00A65877"/>
    <w:rsid w:val="00A667CE"/>
    <w:rsid w:val="00AC341F"/>
    <w:rsid w:val="00AC46AE"/>
    <w:rsid w:val="00AD4800"/>
    <w:rsid w:val="00AE0C60"/>
    <w:rsid w:val="00AF22BA"/>
    <w:rsid w:val="00AF47A8"/>
    <w:rsid w:val="00AF6CFB"/>
    <w:rsid w:val="00B176EC"/>
    <w:rsid w:val="00B260FA"/>
    <w:rsid w:val="00B32DE8"/>
    <w:rsid w:val="00B35B4F"/>
    <w:rsid w:val="00B46D1A"/>
    <w:rsid w:val="00B51BBF"/>
    <w:rsid w:val="00B57CE9"/>
    <w:rsid w:val="00B62801"/>
    <w:rsid w:val="00B85511"/>
    <w:rsid w:val="00B90084"/>
    <w:rsid w:val="00B91CCC"/>
    <w:rsid w:val="00BB2993"/>
    <w:rsid w:val="00BB4EC5"/>
    <w:rsid w:val="00BD478F"/>
    <w:rsid w:val="00BD5A8D"/>
    <w:rsid w:val="00BF653F"/>
    <w:rsid w:val="00C22DCB"/>
    <w:rsid w:val="00C318F4"/>
    <w:rsid w:val="00C45916"/>
    <w:rsid w:val="00C53B5D"/>
    <w:rsid w:val="00C66005"/>
    <w:rsid w:val="00C74B01"/>
    <w:rsid w:val="00C77B72"/>
    <w:rsid w:val="00C858CB"/>
    <w:rsid w:val="00C97B16"/>
    <w:rsid w:val="00CB155F"/>
    <w:rsid w:val="00CB1F08"/>
    <w:rsid w:val="00CD289A"/>
    <w:rsid w:val="00CF4A0E"/>
    <w:rsid w:val="00D357F3"/>
    <w:rsid w:val="00D35A94"/>
    <w:rsid w:val="00D57BA7"/>
    <w:rsid w:val="00D71E5A"/>
    <w:rsid w:val="00D9190A"/>
    <w:rsid w:val="00D94BAC"/>
    <w:rsid w:val="00D956A6"/>
    <w:rsid w:val="00DB18D5"/>
    <w:rsid w:val="00DC0B35"/>
    <w:rsid w:val="00DE2634"/>
    <w:rsid w:val="00DF4082"/>
    <w:rsid w:val="00DF4AA9"/>
    <w:rsid w:val="00E01705"/>
    <w:rsid w:val="00E02C2E"/>
    <w:rsid w:val="00E04B58"/>
    <w:rsid w:val="00E2202F"/>
    <w:rsid w:val="00E33FD6"/>
    <w:rsid w:val="00E4058E"/>
    <w:rsid w:val="00E41CA9"/>
    <w:rsid w:val="00E57A4F"/>
    <w:rsid w:val="00E634A3"/>
    <w:rsid w:val="00E65155"/>
    <w:rsid w:val="00E907CB"/>
    <w:rsid w:val="00ED0755"/>
    <w:rsid w:val="00ED212D"/>
    <w:rsid w:val="00ED7B0D"/>
    <w:rsid w:val="00F17C01"/>
    <w:rsid w:val="00F46F01"/>
    <w:rsid w:val="00F550A1"/>
    <w:rsid w:val="00F63EEF"/>
    <w:rsid w:val="00F672AE"/>
    <w:rsid w:val="00F825B3"/>
    <w:rsid w:val="00F83E6D"/>
    <w:rsid w:val="00F903F7"/>
    <w:rsid w:val="00FA2D45"/>
    <w:rsid w:val="00FB62ED"/>
    <w:rsid w:val="00FC73B5"/>
    <w:rsid w:val="00FC76EE"/>
    <w:rsid w:val="00FD1FCB"/>
    <w:rsid w:val="00FD2227"/>
    <w:rsid w:val="00FD58B6"/>
    <w:rsid w:val="00FD7B0B"/>
    <w:rsid w:val="00FF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5EA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683C87"/>
    <w:pPr>
      <w:widowControl w:val="0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83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83">
    <w:name w:val="Font Style83"/>
    <w:rsid w:val="008E695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33FD6"/>
    <w:pPr>
      <w:ind w:left="720"/>
      <w:contextualSpacing/>
    </w:pPr>
  </w:style>
  <w:style w:type="paragraph" w:customStyle="1" w:styleId="1">
    <w:name w:val="Обычный1"/>
    <w:rsid w:val="002270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Iauiue">
    <w:name w:val="Iau?iue"/>
    <w:rsid w:val="00DF4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DF4A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ranslation-chunk">
    <w:name w:val="translation-chunk"/>
    <w:basedOn w:val="a0"/>
    <w:rsid w:val="008C0DE6"/>
  </w:style>
  <w:style w:type="character" w:styleId="a9">
    <w:name w:val="Emphasis"/>
    <w:basedOn w:val="a0"/>
    <w:qFormat/>
    <w:rsid w:val="008C0DE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C3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6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1753-B8A2-415F-B80D-CBFCA13C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210</cp:revision>
  <cp:lastPrinted>2022-04-01T11:58:00Z</cp:lastPrinted>
  <dcterms:created xsi:type="dcterms:W3CDTF">2015-02-12T08:07:00Z</dcterms:created>
  <dcterms:modified xsi:type="dcterms:W3CDTF">2022-05-19T04:34:00Z</dcterms:modified>
</cp:coreProperties>
</file>